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4FE" w:rsidRDefault="006A7922" w:rsidP="00FE74FE">
      <w:pPr>
        <w:spacing w:after="0" w:line="240" w:lineRule="auto"/>
        <w:jc w:val="center"/>
        <w:rPr>
          <w:b/>
          <w:sz w:val="24"/>
          <w:szCs w:val="24"/>
        </w:rPr>
      </w:pPr>
      <w:r>
        <w:rPr>
          <w:b/>
          <w:noProof/>
          <w:sz w:val="24"/>
          <w:szCs w:val="24"/>
        </w:rPr>
        <w:drawing>
          <wp:anchor distT="0" distB="0" distL="114300" distR="114300" simplePos="0" relativeHeight="251658240" behindDoc="0" locked="0" layoutInCell="1" allowOverlap="1" wp14:anchorId="4E5F657E" wp14:editId="3CC55F6D">
            <wp:simplePos x="0" y="0"/>
            <wp:positionH relativeFrom="column">
              <wp:posOffset>196215</wp:posOffset>
            </wp:positionH>
            <wp:positionV relativeFrom="paragraph">
              <wp:posOffset>81915</wp:posOffset>
            </wp:positionV>
            <wp:extent cx="909955" cy="73279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lk health departmen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9955" cy="732790"/>
                    </a:xfrm>
                    <a:prstGeom prst="rect">
                      <a:avLst/>
                    </a:prstGeom>
                  </pic:spPr>
                </pic:pic>
              </a:graphicData>
            </a:graphic>
            <wp14:sizeRelH relativeFrom="page">
              <wp14:pctWidth>0</wp14:pctWidth>
            </wp14:sizeRelH>
            <wp14:sizeRelV relativeFrom="page">
              <wp14:pctHeight>0</wp14:pctHeight>
            </wp14:sizeRelV>
          </wp:anchor>
        </w:drawing>
      </w:r>
    </w:p>
    <w:p w:rsidR="008239CE" w:rsidRPr="00CF17F3" w:rsidRDefault="00B34266" w:rsidP="009536A8">
      <w:pPr>
        <w:spacing w:after="80" w:line="240" w:lineRule="auto"/>
        <w:rPr>
          <w:rFonts w:ascii="Arial" w:hAnsi="Arial" w:cs="Arial"/>
          <w:b/>
          <w:sz w:val="24"/>
          <w:szCs w:val="24"/>
        </w:rPr>
      </w:pPr>
      <w:r w:rsidRPr="00CF17F3">
        <w:rPr>
          <w:rFonts w:ascii="Arial" w:hAnsi="Arial" w:cs="Arial"/>
          <w:b/>
          <w:sz w:val="24"/>
          <w:szCs w:val="24"/>
        </w:rPr>
        <w:t>FY 201</w:t>
      </w:r>
      <w:r w:rsidR="00474163">
        <w:rPr>
          <w:rFonts w:ascii="Arial" w:hAnsi="Arial" w:cs="Arial"/>
          <w:b/>
          <w:sz w:val="24"/>
          <w:szCs w:val="24"/>
        </w:rPr>
        <w:t>6</w:t>
      </w:r>
      <w:r w:rsidRPr="00CF17F3">
        <w:rPr>
          <w:rFonts w:ascii="Arial" w:hAnsi="Arial" w:cs="Arial"/>
          <w:b/>
          <w:sz w:val="24"/>
          <w:szCs w:val="24"/>
        </w:rPr>
        <w:t xml:space="preserve"> – 1</w:t>
      </w:r>
      <w:r w:rsidR="00474163">
        <w:rPr>
          <w:rFonts w:ascii="Arial" w:hAnsi="Arial" w:cs="Arial"/>
          <w:b/>
          <w:sz w:val="24"/>
          <w:szCs w:val="24"/>
        </w:rPr>
        <w:t>7</w:t>
      </w:r>
      <w:r w:rsidRPr="00CF17F3">
        <w:rPr>
          <w:rFonts w:ascii="Arial" w:hAnsi="Arial" w:cs="Arial"/>
          <w:b/>
          <w:sz w:val="24"/>
          <w:szCs w:val="24"/>
        </w:rPr>
        <w:t xml:space="preserve"> Annual Analysis</w:t>
      </w:r>
      <w:r w:rsidR="0089282D" w:rsidRPr="00CF17F3">
        <w:rPr>
          <w:rFonts w:ascii="Arial" w:hAnsi="Arial" w:cs="Arial"/>
          <w:b/>
          <w:sz w:val="24"/>
          <w:szCs w:val="24"/>
        </w:rPr>
        <w:t xml:space="preserve"> of Performance Measures</w:t>
      </w:r>
    </w:p>
    <w:p w:rsidR="00B34266" w:rsidRPr="00CF17F3" w:rsidRDefault="00B34266" w:rsidP="009536A8">
      <w:pPr>
        <w:spacing w:after="80" w:line="240" w:lineRule="auto"/>
        <w:rPr>
          <w:rFonts w:ascii="Arial" w:hAnsi="Arial" w:cs="Arial"/>
          <w:b/>
          <w:sz w:val="24"/>
          <w:szCs w:val="24"/>
        </w:rPr>
      </w:pPr>
      <w:r w:rsidRPr="00CF17F3">
        <w:rPr>
          <w:rFonts w:ascii="Arial" w:hAnsi="Arial" w:cs="Arial"/>
          <w:b/>
          <w:sz w:val="24"/>
          <w:szCs w:val="24"/>
        </w:rPr>
        <w:t xml:space="preserve">Division: </w:t>
      </w:r>
      <w:r w:rsidR="00D655DA">
        <w:rPr>
          <w:rFonts w:ascii="Arial" w:hAnsi="Arial" w:cs="Arial"/>
          <w:b/>
          <w:sz w:val="24"/>
          <w:szCs w:val="24"/>
        </w:rPr>
        <w:t>Environmental Services</w:t>
      </w:r>
    </w:p>
    <w:p w:rsidR="00671EB9" w:rsidRPr="00214BFC" w:rsidRDefault="00671EB9" w:rsidP="00671EB9">
      <w:pPr>
        <w:spacing w:after="80" w:line="240" w:lineRule="auto"/>
        <w:ind w:left="3780" w:hanging="3780"/>
        <w:rPr>
          <w:rFonts w:ascii="Arial" w:hAnsi="Arial" w:cs="Arial"/>
          <w:b/>
          <w:sz w:val="24"/>
          <w:szCs w:val="24"/>
        </w:rPr>
      </w:pPr>
      <w:r w:rsidRPr="00CF17F3">
        <w:rPr>
          <w:rFonts w:ascii="Arial" w:hAnsi="Arial" w:cs="Arial"/>
          <w:b/>
          <w:sz w:val="24"/>
          <w:szCs w:val="24"/>
        </w:rPr>
        <w:t xml:space="preserve">Program Areas: </w:t>
      </w:r>
      <w:r>
        <w:rPr>
          <w:rFonts w:ascii="Arial" w:hAnsi="Arial" w:cs="Arial"/>
          <w:b/>
          <w:sz w:val="24"/>
          <w:szCs w:val="24"/>
        </w:rPr>
        <w:t xml:space="preserve">Food, Housing, Salons, Pools, </w:t>
      </w:r>
      <w:r w:rsidR="00A75B5D">
        <w:rPr>
          <w:rFonts w:ascii="Arial" w:hAnsi="Arial" w:cs="Arial"/>
          <w:b/>
          <w:sz w:val="24"/>
          <w:szCs w:val="24"/>
        </w:rPr>
        <w:t xml:space="preserve">Weights &amp; Measures, </w:t>
      </w:r>
      <w:r w:rsidR="00A75B5D" w:rsidRPr="00214BFC">
        <w:rPr>
          <w:rFonts w:ascii="Arial" w:hAnsi="Arial" w:cs="Arial"/>
          <w:b/>
          <w:sz w:val="24"/>
          <w:szCs w:val="24"/>
        </w:rPr>
        <w:t xml:space="preserve">Lead, </w:t>
      </w:r>
      <w:r w:rsidR="001278CB" w:rsidRPr="00214BFC">
        <w:rPr>
          <w:rFonts w:ascii="Arial" w:hAnsi="Arial" w:cs="Arial"/>
          <w:b/>
          <w:sz w:val="24"/>
          <w:szCs w:val="24"/>
        </w:rPr>
        <w:t xml:space="preserve">Outbreak </w:t>
      </w:r>
      <w:r w:rsidR="00A75B5D" w:rsidRPr="00214BFC">
        <w:rPr>
          <w:rFonts w:ascii="Arial" w:hAnsi="Arial" w:cs="Arial"/>
          <w:b/>
          <w:sz w:val="24"/>
          <w:szCs w:val="24"/>
        </w:rPr>
        <w:t>Investigations</w:t>
      </w:r>
    </w:p>
    <w:p w:rsidR="009536A8" w:rsidRPr="00214BFC" w:rsidRDefault="009536A8" w:rsidP="009536A8">
      <w:pPr>
        <w:spacing w:after="0" w:line="240" w:lineRule="auto"/>
        <w:ind w:left="1890"/>
        <w:rPr>
          <w:rFonts w:ascii="Arial" w:hAnsi="Arial" w:cs="Arial"/>
          <w:i/>
          <w:sz w:val="16"/>
          <w:szCs w:val="16"/>
        </w:rPr>
      </w:pPr>
    </w:p>
    <w:p w:rsidR="009F4521" w:rsidRPr="00214BFC" w:rsidRDefault="009F4521" w:rsidP="009F4521">
      <w:pPr>
        <w:pStyle w:val="Default"/>
        <w:rPr>
          <w:rFonts w:ascii="Arial" w:hAnsi="Arial" w:cs="Arial"/>
          <w:sz w:val="22"/>
          <w:szCs w:val="22"/>
        </w:rPr>
      </w:pPr>
      <w:bookmarkStart w:id="0" w:name="_GoBack"/>
      <w:bookmarkEnd w:id="0"/>
    </w:p>
    <w:p w:rsidR="00097E8E" w:rsidRPr="00214BFC" w:rsidRDefault="00097E8E" w:rsidP="00097E8E">
      <w:pPr>
        <w:pStyle w:val="Title"/>
        <w:rPr>
          <w:rFonts w:ascii="Arial" w:eastAsia="Calibri" w:hAnsi="Arial" w:cs="Arial"/>
          <w:color w:val="auto"/>
          <w:sz w:val="28"/>
          <w:szCs w:val="28"/>
        </w:rPr>
      </w:pPr>
      <w:r w:rsidRPr="00214BFC">
        <w:rPr>
          <w:rFonts w:ascii="Arial" w:eastAsia="Calibri" w:hAnsi="Arial" w:cs="Arial"/>
          <w:color w:val="auto"/>
          <w:sz w:val="28"/>
          <w:szCs w:val="28"/>
        </w:rPr>
        <w:t>Ov</w:t>
      </w:r>
      <w:r w:rsidRPr="00214BFC">
        <w:rPr>
          <w:rFonts w:ascii="Arial" w:eastAsia="Calibri" w:hAnsi="Arial" w:cs="Arial"/>
          <w:color w:val="auto"/>
          <w:spacing w:val="-1"/>
          <w:sz w:val="28"/>
          <w:szCs w:val="28"/>
        </w:rPr>
        <w:t>e</w:t>
      </w:r>
      <w:r w:rsidRPr="00214BFC">
        <w:rPr>
          <w:rFonts w:ascii="Arial" w:eastAsia="Calibri" w:hAnsi="Arial" w:cs="Arial"/>
          <w:color w:val="auto"/>
          <w:spacing w:val="1"/>
          <w:sz w:val="28"/>
          <w:szCs w:val="28"/>
        </w:rPr>
        <w:t>r</w:t>
      </w:r>
      <w:r w:rsidRPr="00214BFC">
        <w:rPr>
          <w:rFonts w:ascii="Arial" w:eastAsia="Calibri" w:hAnsi="Arial" w:cs="Arial"/>
          <w:color w:val="auto"/>
          <w:spacing w:val="-1"/>
          <w:sz w:val="28"/>
          <w:szCs w:val="28"/>
        </w:rPr>
        <w:t>al</w:t>
      </w:r>
      <w:r w:rsidRPr="00214BFC">
        <w:rPr>
          <w:rFonts w:ascii="Arial" w:eastAsia="Calibri" w:hAnsi="Arial" w:cs="Arial"/>
          <w:color w:val="auto"/>
          <w:sz w:val="28"/>
          <w:szCs w:val="28"/>
        </w:rPr>
        <w:t>l</w:t>
      </w:r>
      <w:r w:rsidRPr="00214BFC">
        <w:rPr>
          <w:rFonts w:ascii="Arial" w:eastAsia="Calibri" w:hAnsi="Arial" w:cs="Arial"/>
          <w:color w:val="auto"/>
          <w:spacing w:val="2"/>
          <w:sz w:val="28"/>
          <w:szCs w:val="28"/>
        </w:rPr>
        <w:t xml:space="preserve"> </w:t>
      </w:r>
      <w:r w:rsidRPr="00214BFC">
        <w:rPr>
          <w:rFonts w:ascii="Arial" w:eastAsia="Calibri" w:hAnsi="Arial" w:cs="Arial"/>
          <w:color w:val="auto"/>
          <w:spacing w:val="-1"/>
          <w:sz w:val="28"/>
          <w:szCs w:val="28"/>
        </w:rPr>
        <w:t>Su</w:t>
      </w:r>
      <w:r w:rsidRPr="00214BFC">
        <w:rPr>
          <w:rFonts w:ascii="Arial" w:eastAsia="Calibri" w:hAnsi="Arial" w:cs="Arial"/>
          <w:color w:val="auto"/>
          <w:sz w:val="28"/>
          <w:szCs w:val="28"/>
        </w:rPr>
        <w:t>mm</w:t>
      </w:r>
      <w:r w:rsidRPr="00214BFC">
        <w:rPr>
          <w:rFonts w:ascii="Arial" w:eastAsia="Calibri" w:hAnsi="Arial" w:cs="Arial"/>
          <w:color w:val="auto"/>
          <w:spacing w:val="-1"/>
          <w:sz w:val="28"/>
          <w:szCs w:val="28"/>
        </w:rPr>
        <w:t>a</w:t>
      </w:r>
      <w:r w:rsidRPr="00214BFC">
        <w:rPr>
          <w:rFonts w:ascii="Arial" w:eastAsia="Calibri" w:hAnsi="Arial" w:cs="Arial"/>
          <w:color w:val="auto"/>
          <w:spacing w:val="-2"/>
          <w:sz w:val="28"/>
          <w:szCs w:val="28"/>
        </w:rPr>
        <w:t>r</w:t>
      </w:r>
      <w:r w:rsidRPr="00214BFC">
        <w:rPr>
          <w:rFonts w:ascii="Arial" w:eastAsia="Calibri" w:hAnsi="Arial" w:cs="Arial"/>
          <w:color w:val="auto"/>
          <w:sz w:val="28"/>
          <w:szCs w:val="28"/>
        </w:rPr>
        <w:t>y</w:t>
      </w:r>
    </w:p>
    <w:p w:rsidR="00F81DB3" w:rsidRPr="00D84BB8" w:rsidRDefault="001F15C5" w:rsidP="00D84BB8">
      <w:r w:rsidRPr="00C74605">
        <w:rPr>
          <w:rFonts w:ascii="Arial" w:eastAsia="Calibri" w:hAnsi="Arial" w:cs="Arial"/>
        </w:rPr>
        <w:t>F</w:t>
      </w:r>
      <w:r w:rsidR="008C02A0">
        <w:rPr>
          <w:rFonts w:ascii="Arial" w:eastAsia="Calibri" w:hAnsi="Arial" w:cs="Arial"/>
        </w:rPr>
        <w:t>ourteen</w:t>
      </w:r>
      <w:r w:rsidR="00D84BB8" w:rsidRPr="00C74605">
        <w:rPr>
          <w:rFonts w:ascii="Arial" w:eastAsia="Calibri" w:hAnsi="Arial" w:cs="Arial"/>
        </w:rPr>
        <w:t xml:space="preserve"> of the per</w:t>
      </w:r>
      <w:r w:rsidR="00D84BB8" w:rsidRPr="00C74605">
        <w:rPr>
          <w:rFonts w:ascii="Arial" w:eastAsia="Calibri" w:hAnsi="Arial" w:cs="Arial"/>
          <w:spacing w:val="-2"/>
        </w:rPr>
        <w:t>f</w:t>
      </w:r>
      <w:r w:rsidR="00D84BB8" w:rsidRPr="00C74605">
        <w:rPr>
          <w:rFonts w:ascii="Arial" w:eastAsia="Calibri" w:hAnsi="Arial" w:cs="Arial"/>
          <w:spacing w:val="1"/>
        </w:rPr>
        <w:t>o</w:t>
      </w:r>
      <w:r w:rsidR="00D84BB8" w:rsidRPr="00C74605">
        <w:rPr>
          <w:rFonts w:ascii="Arial" w:eastAsia="Calibri" w:hAnsi="Arial" w:cs="Arial"/>
          <w:spacing w:val="-3"/>
        </w:rPr>
        <w:t>r</w:t>
      </w:r>
      <w:r w:rsidR="00D84BB8" w:rsidRPr="00C74605">
        <w:rPr>
          <w:rFonts w:ascii="Arial" w:eastAsia="Calibri" w:hAnsi="Arial" w:cs="Arial"/>
          <w:spacing w:val="1"/>
        </w:rPr>
        <w:t>m</w:t>
      </w:r>
      <w:r w:rsidR="00D84BB8" w:rsidRPr="00C74605">
        <w:rPr>
          <w:rFonts w:ascii="Arial" w:eastAsia="Calibri" w:hAnsi="Arial" w:cs="Arial"/>
        </w:rPr>
        <w:t>a</w:t>
      </w:r>
      <w:r w:rsidR="00D84BB8" w:rsidRPr="00C74605">
        <w:rPr>
          <w:rFonts w:ascii="Arial" w:eastAsia="Calibri" w:hAnsi="Arial" w:cs="Arial"/>
          <w:spacing w:val="-1"/>
        </w:rPr>
        <w:t>n</w:t>
      </w:r>
      <w:r w:rsidR="00D84BB8" w:rsidRPr="00C74605">
        <w:rPr>
          <w:rFonts w:ascii="Arial" w:eastAsia="Calibri" w:hAnsi="Arial" w:cs="Arial"/>
          <w:spacing w:val="-2"/>
        </w:rPr>
        <w:t>c</w:t>
      </w:r>
      <w:r w:rsidR="00D84BB8" w:rsidRPr="00C74605">
        <w:rPr>
          <w:rFonts w:ascii="Arial" w:eastAsia="Calibri" w:hAnsi="Arial" w:cs="Arial"/>
        </w:rPr>
        <w:t>e</w:t>
      </w:r>
      <w:r w:rsidR="00D84BB8" w:rsidRPr="00C74605">
        <w:rPr>
          <w:rFonts w:ascii="Arial" w:eastAsia="Calibri" w:hAnsi="Arial" w:cs="Arial"/>
          <w:spacing w:val="1"/>
        </w:rPr>
        <w:t xml:space="preserve"> </w:t>
      </w:r>
      <w:r w:rsidR="00D84BB8" w:rsidRPr="00C74605">
        <w:rPr>
          <w:rFonts w:ascii="Arial" w:eastAsia="Calibri" w:hAnsi="Arial" w:cs="Arial"/>
          <w:spacing w:val="-1"/>
        </w:rPr>
        <w:t>m</w:t>
      </w:r>
      <w:r w:rsidR="00D84BB8" w:rsidRPr="00C74605">
        <w:rPr>
          <w:rFonts w:ascii="Arial" w:eastAsia="Calibri" w:hAnsi="Arial" w:cs="Arial"/>
        </w:rPr>
        <w:t>easures in</w:t>
      </w:r>
      <w:r w:rsidR="00D84BB8" w:rsidRPr="00C74605">
        <w:rPr>
          <w:rFonts w:ascii="Arial" w:eastAsia="Calibri" w:hAnsi="Arial" w:cs="Arial"/>
          <w:spacing w:val="-1"/>
        </w:rPr>
        <w:t xml:space="preserve"> </w:t>
      </w:r>
      <w:r w:rsidR="00D84BB8" w:rsidRPr="00C74605">
        <w:rPr>
          <w:rFonts w:ascii="Arial" w:eastAsia="Calibri" w:hAnsi="Arial" w:cs="Arial"/>
          <w:spacing w:val="1"/>
        </w:rPr>
        <w:t>t</w:t>
      </w:r>
      <w:r w:rsidR="00D84BB8" w:rsidRPr="00C74605">
        <w:rPr>
          <w:rFonts w:ascii="Arial" w:eastAsia="Calibri" w:hAnsi="Arial" w:cs="Arial"/>
          <w:spacing w:val="-1"/>
        </w:rPr>
        <w:t>h</w:t>
      </w:r>
      <w:r w:rsidR="00D84BB8" w:rsidRPr="00C74605">
        <w:rPr>
          <w:rFonts w:ascii="Arial" w:eastAsia="Calibri" w:hAnsi="Arial" w:cs="Arial"/>
        </w:rPr>
        <w:t>is d</w:t>
      </w:r>
      <w:r w:rsidR="00D84BB8" w:rsidRPr="00C74605">
        <w:rPr>
          <w:rFonts w:ascii="Arial" w:eastAsia="Calibri" w:hAnsi="Arial" w:cs="Arial"/>
          <w:spacing w:val="-3"/>
        </w:rPr>
        <w:t>i</w:t>
      </w:r>
      <w:r w:rsidR="00D84BB8" w:rsidRPr="00C74605">
        <w:rPr>
          <w:rFonts w:ascii="Arial" w:eastAsia="Calibri" w:hAnsi="Arial" w:cs="Arial"/>
          <w:spacing w:val="1"/>
        </w:rPr>
        <w:t>v</w:t>
      </w:r>
      <w:r w:rsidR="00D84BB8" w:rsidRPr="00C74605">
        <w:rPr>
          <w:rFonts w:ascii="Arial" w:eastAsia="Calibri" w:hAnsi="Arial" w:cs="Arial"/>
        </w:rPr>
        <w:t>isi</w:t>
      </w:r>
      <w:r w:rsidR="00D84BB8" w:rsidRPr="00C74605">
        <w:rPr>
          <w:rFonts w:ascii="Arial" w:eastAsia="Calibri" w:hAnsi="Arial" w:cs="Arial"/>
          <w:spacing w:val="1"/>
        </w:rPr>
        <w:t>o</w:t>
      </w:r>
      <w:r w:rsidR="00D84BB8" w:rsidRPr="00C74605">
        <w:rPr>
          <w:rFonts w:ascii="Arial" w:eastAsia="Calibri" w:hAnsi="Arial" w:cs="Arial"/>
        </w:rPr>
        <w:t>n</w:t>
      </w:r>
      <w:r w:rsidR="00D84BB8" w:rsidRPr="00C74605">
        <w:rPr>
          <w:rFonts w:ascii="Arial" w:eastAsia="Calibri" w:hAnsi="Arial" w:cs="Arial"/>
          <w:spacing w:val="-4"/>
        </w:rPr>
        <w:t xml:space="preserve"> fully </w:t>
      </w:r>
      <w:r w:rsidR="00D84BB8" w:rsidRPr="00C74605">
        <w:rPr>
          <w:rFonts w:ascii="Arial" w:eastAsia="Calibri" w:hAnsi="Arial" w:cs="Arial"/>
          <w:spacing w:val="1"/>
        </w:rPr>
        <w:t>m</w:t>
      </w:r>
      <w:r w:rsidR="00D84BB8" w:rsidRPr="00C74605">
        <w:rPr>
          <w:rFonts w:ascii="Arial" w:eastAsia="Calibri" w:hAnsi="Arial" w:cs="Arial"/>
        </w:rPr>
        <w:t>et</w:t>
      </w:r>
      <w:r w:rsidR="00D84BB8" w:rsidRPr="00C74605">
        <w:rPr>
          <w:rFonts w:ascii="Arial" w:eastAsia="Calibri" w:hAnsi="Arial" w:cs="Arial"/>
          <w:spacing w:val="-1"/>
        </w:rPr>
        <w:t xml:space="preserve"> </w:t>
      </w:r>
      <w:r w:rsidR="00D84BB8" w:rsidRPr="00C74605">
        <w:rPr>
          <w:rFonts w:ascii="Arial" w:eastAsia="Calibri" w:hAnsi="Arial" w:cs="Arial"/>
          <w:spacing w:val="1"/>
        </w:rPr>
        <w:t>t</w:t>
      </w:r>
      <w:r w:rsidR="00D84BB8" w:rsidRPr="00C74605">
        <w:rPr>
          <w:rFonts w:ascii="Arial" w:eastAsia="Calibri" w:hAnsi="Arial" w:cs="Arial"/>
          <w:spacing w:val="-1"/>
        </w:rPr>
        <w:t>h</w:t>
      </w:r>
      <w:r w:rsidR="00D84BB8" w:rsidRPr="00C74605">
        <w:rPr>
          <w:rFonts w:ascii="Arial" w:eastAsia="Calibri" w:hAnsi="Arial" w:cs="Arial"/>
        </w:rPr>
        <w:t>e</w:t>
      </w:r>
      <w:r w:rsidR="00D84BB8" w:rsidRPr="00C74605">
        <w:rPr>
          <w:rFonts w:ascii="Arial" w:eastAsia="Calibri" w:hAnsi="Arial" w:cs="Arial"/>
          <w:spacing w:val="-2"/>
        </w:rPr>
        <w:t xml:space="preserve"> </w:t>
      </w:r>
      <w:r w:rsidR="00D84BB8" w:rsidRPr="00C74605">
        <w:rPr>
          <w:rFonts w:ascii="Arial" w:eastAsia="Calibri" w:hAnsi="Arial" w:cs="Arial"/>
          <w:spacing w:val="1"/>
        </w:rPr>
        <w:t>t</w:t>
      </w:r>
      <w:r w:rsidR="00D84BB8" w:rsidRPr="00C74605">
        <w:rPr>
          <w:rFonts w:ascii="Arial" w:eastAsia="Calibri" w:hAnsi="Arial" w:cs="Arial"/>
        </w:rPr>
        <w:t>ar</w:t>
      </w:r>
      <w:r w:rsidR="00D84BB8" w:rsidRPr="00C74605">
        <w:rPr>
          <w:rFonts w:ascii="Arial" w:eastAsia="Calibri" w:hAnsi="Arial" w:cs="Arial"/>
          <w:spacing w:val="-1"/>
        </w:rPr>
        <w:t>g</w:t>
      </w:r>
      <w:r w:rsidR="00D84BB8" w:rsidRPr="00C74605">
        <w:rPr>
          <w:rFonts w:ascii="Arial" w:eastAsia="Calibri" w:hAnsi="Arial" w:cs="Arial"/>
        </w:rPr>
        <w:t>e</w:t>
      </w:r>
      <w:r w:rsidR="00D84BB8" w:rsidRPr="00C74605">
        <w:rPr>
          <w:rFonts w:ascii="Arial" w:eastAsia="Calibri" w:hAnsi="Arial" w:cs="Arial"/>
          <w:spacing w:val="-1"/>
        </w:rPr>
        <w:t>t</w:t>
      </w:r>
      <w:r w:rsidR="00D84BB8" w:rsidRPr="00C74605">
        <w:rPr>
          <w:rFonts w:ascii="Arial" w:eastAsia="Calibri" w:hAnsi="Arial" w:cs="Arial"/>
          <w:spacing w:val="1"/>
        </w:rPr>
        <w:t xml:space="preserve">s. </w:t>
      </w:r>
    </w:p>
    <w:tbl>
      <w:tblPr>
        <w:tblW w:w="10320" w:type="dxa"/>
        <w:tblInd w:w="93" w:type="dxa"/>
        <w:tblLayout w:type="fixed"/>
        <w:tblLook w:val="04A0" w:firstRow="1" w:lastRow="0" w:firstColumn="1" w:lastColumn="0" w:noHBand="0" w:noVBand="1"/>
      </w:tblPr>
      <w:tblGrid>
        <w:gridCol w:w="4515"/>
        <w:gridCol w:w="810"/>
        <w:gridCol w:w="810"/>
        <w:gridCol w:w="720"/>
        <w:gridCol w:w="810"/>
        <w:gridCol w:w="810"/>
        <w:gridCol w:w="885"/>
        <w:gridCol w:w="960"/>
      </w:tblGrid>
      <w:tr w:rsidR="000A5547" w:rsidRPr="000A5547" w:rsidTr="000A5547">
        <w:trPr>
          <w:trHeight w:val="570"/>
        </w:trPr>
        <w:tc>
          <w:tcPr>
            <w:tcW w:w="4515" w:type="dxa"/>
            <w:tcBorders>
              <w:top w:val="nil"/>
              <w:left w:val="single" w:sz="4" w:space="0" w:color="auto"/>
              <w:bottom w:val="nil"/>
              <w:right w:val="nil"/>
            </w:tcBorders>
            <w:shd w:val="clear" w:color="000000" w:fill="000000"/>
            <w:noWrap/>
            <w:vAlign w:val="center"/>
            <w:hideMark/>
          </w:tcPr>
          <w:p w:rsidR="000A5547" w:rsidRPr="000A5547" w:rsidRDefault="000A5547" w:rsidP="000A5547">
            <w:pPr>
              <w:spacing w:after="0" w:line="240" w:lineRule="auto"/>
              <w:jc w:val="center"/>
              <w:rPr>
                <w:rFonts w:ascii="Calibri" w:eastAsia="Times New Roman" w:hAnsi="Calibri" w:cs="Arial"/>
                <w:b/>
                <w:bCs/>
                <w:i/>
                <w:iCs/>
                <w:color w:val="FFFFFF"/>
              </w:rPr>
            </w:pPr>
            <w:r w:rsidRPr="000A5547">
              <w:rPr>
                <w:rFonts w:ascii="Calibri" w:eastAsia="Times New Roman" w:hAnsi="Calibri" w:cs="Arial"/>
                <w:b/>
                <w:bCs/>
                <w:i/>
                <w:iCs/>
                <w:color w:val="FFFFFF"/>
              </w:rPr>
              <w:t>Key Performance Measures</w:t>
            </w:r>
          </w:p>
        </w:tc>
        <w:tc>
          <w:tcPr>
            <w:tcW w:w="810" w:type="dxa"/>
            <w:tcBorders>
              <w:top w:val="nil"/>
              <w:left w:val="nil"/>
              <w:bottom w:val="nil"/>
              <w:right w:val="nil"/>
            </w:tcBorders>
            <w:shd w:val="clear" w:color="000000" w:fill="000000"/>
            <w:noWrap/>
            <w:vAlign w:val="center"/>
            <w:hideMark/>
          </w:tcPr>
          <w:p w:rsidR="000A5547" w:rsidRPr="000A5547" w:rsidRDefault="000A5547" w:rsidP="000A5547">
            <w:pPr>
              <w:spacing w:after="0" w:line="240" w:lineRule="auto"/>
              <w:jc w:val="center"/>
              <w:rPr>
                <w:rFonts w:ascii="Calibri" w:eastAsia="Times New Roman" w:hAnsi="Calibri" w:cs="Arial"/>
                <w:b/>
                <w:bCs/>
                <w:i/>
                <w:iCs/>
                <w:color w:val="FFFFFF"/>
              </w:rPr>
            </w:pPr>
            <w:r w:rsidRPr="000A5547">
              <w:rPr>
                <w:rFonts w:ascii="Calibri" w:eastAsia="Times New Roman" w:hAnsi="Calibri" w:cs="Arial"/>
                <w:b/>
                <w:bCs/>
                <w:i/>
                <w:iCs/>
                <w:color w:val="FFFFFF"/>
              </w:rPr>
              <w:t> </w:t>
            </w:r>
          </w:p>
        </w:tc>
        <w:tc>
          <w:tcPr>
            <w:tcW w:w="810" w:type="dxa"/>
            <w:tcBorders>
              <w:top w:val="nil"/>
              <w:left w:val="nil"/>
              <w:bottom w:val="nil"/>
              <w:right w:val="nil"/>
            </w:tcBorders>
            <w:shd w:val="clear" w:color="000000" w:fill="000000"/>
            <w:vAlign w:val="center"/>
            <w:hideMark/>
          </w:tcPr>
          <w:p w:rsidR="000A5547" w:rsidRPr="000A5547" w:rsidRDefault="000A5547" w:rsidP="000A5547">
            <w:pPr>
              <w:spacing w:after="0" w:line="240" w:lineRule="auto"/>
              <w:jc w:val="center"/>
              <w:rPr>
                <w:rFonts w:ascii="Calibri" w:eastAsia="Times New Roman" w:hAnsi="Calibri" w:cs="Arial"/>
                <w:b/>
                <w:bCs/>
                <w:color w:val="FFFFFF"/>
              </w:rPr>
            </w:pPr>
            <w:r w:rsidRPr="000A5547">
              <w:rPr>
                <w:rFonts w:ascii="Calibri" w:eastAsia="Times New Roman" w:hAnsi="Calibri" w:cs="Arial"/>
                <w:b/>
                <w:bCs/>
                <w:color w:val="FFFFFF"/>
              </w:rPr>
              <w:t>Q1</w:t>
            </w:r>
          </w:p>
        </w:tc>
        <w:tc>
          <w:tcPr>
            <w:tcW w:w="720" w:type="dxa"/>
            <w:tcBorders>
              <w:top w:val="nil"/>
              <w:left w:val="nil"/>
              <w:bottom w:val="nil"/>
              <w:right w:val="nil"/>
            </w:tcBorders>
            <w:shd w:val="clear" w:color="000000" w:fill="000000"/>
            <w:vAlign w:val="center"/>
            <w:hideMark/>
          </w:tcPr>
          <w:p w:rsidR="000A5547" w:rsidRPr="000A5547" w:rsidRDefault="000A5547" w:rsidP="000A5547">
            <w:pPr>
              <w:spacing w:after="0" w:line="240" w:lineRule="auto"/>
              <w:jc w:val="center"/>
              <w:rPr>
                <w:rFonts w:ascii="Calibri" w:eastAsia="Times New Roman" w:hAnsi="Calibri" w:cs="Arial"/>
                <w:b/>
                <w:bCs/>
                <w:color w:val="FFFFFF"/>
              </w:rPr>
            </w:pPr>
            <w:r w:rsidRPr="000A5547">
              <w:rPr>
                <w:rFonts w:ascii="Calibri" w:eastAsia="Times New Roman" w:hAnsi="Calibri" w:cs="Arial"/>
                <w:b/>
                <w:bCs/>
                <w:color w:val="FFFFFF"/>
              </w:rPr>
              <w:t>Q2</w:t>
            </w:r>
          </w:p>
        </w:tc>
        <w:tc>
          <w:tcPr>
            <w:tcW w:w="810" w:type="dxa"/>
            <w:tcBorders>
              <w:top w:val="nil"/>
              <w:left w:val="nil"/>
              <w:bottom w:val="nil"/>
              <w:right w:val="nil"/>
            </w:tcBorders>
            <w:shd w:val="clear" w:color="000000" w:fill="000000"/>
            <w:vAlign w:val="center"/>
            <w:hideMark/>
          </w:tcPr>
          <w:p w:rsidR="000A5547" w:rsidRPr="000A5547" w:rsidRDefault="000A5547" w:rsidP="000A5547">
            <w:pPr>
              <w:spacing w:after="0" w:line="240" w:lineRule="auto"/>
              <w:jc w:val="center"/>
              <w:rPr>
                <w:rFonts w:ascii="Calibri" w:eastAsia="Times New Roman" w:hAnsi="Calibri" w:cs="Arial"/>
                <w:b/>
                <w:bCs/>
                <w:color w:val="FFFFFF"/>
              </w:rPr>
            </w:pPr>
            <w:r w:rsidRPr="000A5547">
              <w:rPr>
                <w:rFonts w:ascii="Calibri" w:eastAsia="Times New Roman" w:hAnsi="Calibri" w:cs="Arial"/>
                <w:b/>
                <w:bCs/>
                <w:color w:val="FFFFFF"/>
              </w:rPr>
              <w:t>Q3</w:t>
            </w:r>
          </w:p>
        </w:tc>
        <w:tc>
          <w:tcPr>
            <w:tcW w:w="810" w:type="dxa"/>
            <w:tcBorders>
              <w:top w:val="nil"/>
              <w:left w:val="nil"/>
              <w:bottom w:val="nil"/>
              <w:right w:val="nil"/>
            </w:tcBorders>
            <w:shd w:val="clear" w:color="000000" w:fill="000000"/>
            <w:vAlign w:val="center"/>
            <w:hideMark/>
          </w:tcPr>
          <w:p w:rsidR="000A5547" w:rsidRPr="000A5547" w:rsidRDefault="000A5547" w:rsidP="000A5547">
            <w:pPr>
              <w:spacing w:after="0" w:line="240" w:lineRule="auto"/>
              <w:jc w:val="center"/>
              <w:rPr>
                <w:rFonts w:ascii="Calibri" w:eastAsia="Times New Roman" w:hAnsi="Calibri" w:cs="Arial"/>
                <w:b/>
                <w:bCs/>
                <w:color w:val="FFFFFF"/>
              </w:rPr>
            </w:pPr>
            <w:r w:rsidRPr="000A5547">
              <w:rPr>
                <w:rFonts w:ascii="Calibri" w:eastAsia="Times New Roman" w:hAnsi="Calibri" w:cs="Arial"/>
                <w:b/>
                <w:bCs/>
                <w:color w:val="FFFFFF"/>
              </w:rPr>
              <w:t>Q4</w:t>
            </w:r>
          </w:p>
        </w:tc>
        <w:tc>
          <w:tcPr>
            <w:tcW w:w="885" w:type="dxa"/>
            <w:tcBorders>
              <w:top w:val="nil"/>
              <w:left w:val="nil"/>
              <w:bottom w:val="nil"/>
              <w:right w:val="nil"/>
            </w:tcBorders>
            <w:shd w:val="clear" w:color="000000" w:fill="000000"/>
            <w:vAlign w:val="center"/>
            <w:hideMark/>
          </w:tcPr>
          <w:p w:rsidR="000A5547" w:rsidRPr="000A5547" w:rsidRDefault="000A5547" w:rsidP="000A5547">
            <w:pPr>
              <w:spacing w:after="0" w:line="240" w:lineRule="auto"/>
              <w:jc w:val="center"/>
              <w:rPr>
                <w:rFonts w:ascii="Calibri" w:eastAsia="Times New Roman" w:hAnsi="Calibri" w:cs="Arial"/>
                <w:b/>
                <w:bCs/>
                <w:color w:val="FFFFFF"/>
              </w:rPr>
            </w:pPr>
            <w:r w:rsidRPr="000A5547">
              <w:rPr>
                <w:rFonts w:ascii="Calibri" w:eastAsia="Times New Roman" w:hAnsi="Calibri" w:cs="Arial"/>
                <w:b/>
                <w:bCs/>
                <w:color w:val="FFFFFF"/>
              </w:rPr>
              <w:t>Annual</w:t>
            </w:r>
          </w:p>
        </w:tc>
        <w:tc>
          <w:tcPr>
            <w:tcW w:w="960" w:type="dxa"/>
            <w:tcBorders>
              <w:top w:val="nil"/>
              <w:left w:val="nil"/>
              <w:bottom w:val="nil"/>
              <w:right w:val="nil"/>
            </w:tcBorders>
            <w:shd w:val="clear" w:color="000000" w:fill="000000"/>
            <w:vAlign w:val="center"/>
            <w:hideMark/>
          </w:tcPr>
          <w:p w:rsidR="000A5547" w:rsidRPr="000A5547" w:rsidRDefault="000A5547" w:rsidP="000A5547">
            <w:pPr>
              <w:spacing w:after="0" w:line="240" w:lineRule="auto"/>
              <w:jc w:val="center"/>
              <w:rPr>
                <w:rFonts w:ascii="Calibri" w:eastAsia="Times New Roman" w:hAnsi="Calibri" w:cs="Arial"/>
                <w:b/>
                <w:bCs/>
                <w:color w:val="FFFFFF"/>
              </w:rPr>
            </w:pPr>
            <w:r w:rsidRPr="000A5547">
              <w:rPr>
                <w:rFonts w:ascii="Calibri" w:eastAsia="Times New Roman" w:hAnsi="Calibri" w:cs="Arial"/>
                <w:b/>
                <w:bCs/>
                <w:color w:val="FFFFFF"/>
              </w:rPr>
              <w:t>Status</w:t>
            </w:r>
          </w:p>
        </w:tc>
      </w:tr>
      <w:tr w:rsidR="000A5547" w:rsidRPr="000A5547" w:rsidTr="00961A90">
        <w:trPr>
          <w:trHeight w:val="304"/>
        </w:trPr>
        <w:tc>
          <w:tcPr>
            <w:tcW w:w="4515"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0A5547" w:rsidRPr="000A5547" w:rsidRDefault="000A5547" w:rsidP="000A5547">
            <w:pPr>
              <w:spacing w:after="0" w:line="240" w:lineRule="auto"/>
              <w:rPr>
                <w:rFonts w:ascii="Calibri" w:eastAsia="Times New Roman" w:hAnsi="Calibri" w:cs="Arial"/>
                <w:b/>
                <w:bCs/>
                <w:color w:val="000000"/>
                <w:sz w:val="20"/>
                <w:szCs w:val="20"/>
              </w:rPr>
            </w:pPr>
            <w:r w:rsidRPr="000A5547">
              <w:rPr>
                <w:rFonts w:ascii="Calibri" w:eastAsia="Times New Roman" w:hAnsi="Calibri" w:cs="Arial"/>
                <w:b/>
                <w:bCs/>
                <w:color w:val="000000"/>
                <w:sz w:val="20"/>
                <w:szCs w:val="20"/>
              </w:rPr>
              <w:t xml:space="preserve">1.1 % of food establishment inspections conducted by fiscal year-to-date and annually </w:t>
            </w:r>
          </w:p>
        </w:tc>
        <w:tc>
          <w:tcPr>
            <w:tcW w:w="810" w:type="dxa"/>
            <w:tcBorders>
              <w:top w:val="single" w:sz="8" w:space="0" w:color="auto"/>
              <w:left w:val="nil"/>
              <w:bottom w:val="nil"/>
              <w:right w:val="single" w:sz="4" w:space="0" w:color="auto"/>
            </w:tcBorders>
            <w:shd w:val="clear" w:color="auto" w:fill="auto"/>
            <w:vAlign w:val="center"/>
            <w:hideMark/>
          </w:tcPr>
          <w:p w:rsidR="000A5547" w:rsidRPr="000A5547" w:rsidRDefault="000A5547"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single" w:sz="8" w:space="0" w:color="auto"/>
              <w:left w:val="nil"/>
              <w:bottom w:val="nil"/>
              <w:right w:val="single" w:sz="4" w:space="0" w:color="auto"/>
            </w:tcBorders>
            <w:shd w:val="clear" w:color="auto" w:fill="auto"/>
            <w:noWrap/>
            <w:vAlign w:val="center"/>
            <w:hideMark/>
          </w:tcPr>
          <w:p w:rsidR="000A5547" w:rsidRPr="000A5547" w:rsidRDefault="000A5547"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25%</w:t>
            </w:r>
          </w:p>
        </w:tc>
        <w:tc>
          <w:tcPr>
            <w:tcW w:w="720" w:type="dxa"/>
            <w:tcBorders>
              <w:top w:val="single" w:sz="8" w:space="0" w:color="auto"/>
              <w:left w:val="nil"/>
              <w:bottom w:val="nil"/>
              <w:right w:val="single" w:sz="4" w:space="0" w:color="auto"/>
            </w:tcBorders>
            <w:shd w:val="clear" w:color="auto" w:fill="auto"/>
            <w:noWrap/>
            <w:vAlign w:val="center"/>
            <w:hideMark/>
          </w:tcPr>
          <w:p w:rsidR="000A5547" w:rsidRPr="000A5547" w:rsidRDefault="000A5547"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47%</w:t>
            </w:r>
          </w:p>
        </w:tc>
        <w:tc>
          <w:tcPr>
            <w:tcW w:w="810" w:type="dxa"/>
            <w:tcBorders>
              <w:top w:val="single" w:sz="8" w:space="0" w:color="auto"/>
              <w:left w:val="nil"/>
              <w:bottom w:val="nil"/>
              <w:right w:val="single" w:sz="4" w:space="0" w:color="auto"/>
            </w:tcBorders>
            <w:shd w:val="clear" w:color="auto" w:fill="auto"/>
            <w:noWrap/>
            <w:vAlign w:val="center"/>
            <w:hideMark/>
          </w:tcPr>
          <w:p w:rsidR="000A5547" w:rsidRPr="000A5547" w:rsidRDefault="000A5547"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73%</w:t>
            </w:r>
          </w:p>
        </w:tc>
        <w:tc>
          <w:tcPr>
            <w:tcW w:w="810" w:type="dxa"/>
            <w:tcBorders>
              <w:top w:val="single" w:sz="8" w:space="0" w:color="auto"/>
              <w:left w:val="nil"/>
              <w:bottom w:val="nil"/>
              <w:right w:val="single" w:sz="4" w:space="0" w:color="auto"/>
            </w:tcBorders>
            <w:shd w:val="clear" w:color="auto" w:fill="auto"/>
            <w:noWrap/>
            <w:vAlign w:val="center"/>
            <w:hideMark/>
          </w:tcPr>
          <w:p w:rsidR="000A5547" w:rsidRPr="000A5547" w:rsidRDefault="000A5547"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85" w:type="dxa"/>
            <w:tcBorders>
              <w:top w:val="single" w:sz="8" w:space="0" w:color="auto"/>
              <w:left w:val="nil"/>
              <w:bottom w:val="nil"/>
              <w:right w:val="single" w:sz="8" w:space="0" w:color="auto"/>
            </w:tcBorders>
            <w:shd w:val="clear" w:color="auto" w:fill="auto"/>
            <w:noWrap/>
            <w:vAlign w:val="center"/>
            <w:hideMark/>
          </w:tcPr>
          <w:p w:rsidR="000A5547" w:rsidRPr="000A5547" w:rsidRDefault="000A5547"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92D050"/>
            <w:noWrap/>
            <w:vAlign w:val="center"/>
            <w:hideMark/>
          </w:tcPr>
          <w:p w:rsidR="000A5547" w:rsidRPr="000A5547" w:rsidRDefault="000A5547"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961A90">
        <w:trPr>
          <w:trHeight w:val="241"/>
        </w:trPr>
        <w:tc>
          <w:tcPr>
            <w:tcW w:w="4515" w:type="dxa"/>
            <w:vMerge/>
            <w:tcBorders>
              <w:top w:val="single" w:sz="8" w:space="0" w:color="auto"/>
              <w:left w:val="single" w:sz="8" w:space="0" w:color="auto"/>
              <w:bottom w:val="single" w:sz="8" w:space="0" w:color="auto"/>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single" w:sz="8" w:space="0" w:color="auto"/>
              <w:right w:val="single" w:sz="4"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22%</w:t>
            </w:r>
          </w:p>
        </w:tc>
        <w:tc>
          <w:tcPr>
            <w:tcW w:w="720" w:type="dxa"/>
            <w:tcBorders>
              <w:top w:val="nil"/>
              <w:left w:val="nil"/>
              <w:bottom w:val="single" w:sz="8" w:space="0" w:color="auto"/>
              <w:right w:val="single" w:sz="4"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43%</w:t>
            </w:r>
          </w:p>
        </w:tc>
        <w:tc>
          <w:tcPr>
            <w:tcW w:w="810" w:type="dxa"/>
            <w:tcBorders>
              <w:top w:val="nil"/>
              <w:left w:val="nil"/>
              <w:bottom w:val="single" w:sz="8" w:space="0" w:color="auto"/>
              <w:right w:val="single" w:sz="4"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65%</w:t>
            </w:r>
          </w:p>
        </w:tc>
        <w:tc>
          <w:tcPr>
            <w:tcW w:w="810" w:type="dxa"/>
            <w:tcBorders>
              <w:top w:val="nil"/>
              <w:left w:val="nil"/>
              <w:bottom w:val="single" w:sz="8" w:space="0" w:color="auto"/>
              <w:right w:val="single" w:sz="8"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89%</w:t>
            </w:r>
          </w:p>
        </w:tc>
        <w:tc>
          <w:tcPr>
            <w:tcW w:w="885" w:type="dxa"/>
            <w:tcBorders>
              <w:top w:val="nil"/>
              <w:left w:val="single" w:sz="4" w:space="0" w:color="auto"/>
              <w:bottom w:val="single" w:sz="8" w:space="0" w:color="auto"/>
              <w:right w:val="single" w:sz="8"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89%</w:t>
            </w:r>
          </w:p>
        </w:tc>
        <w:tc>
          <w:tcPr>
            <w:tcW w:w="960"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268"/>
        </w:trPr>
        <w:tc>
          <w:tcPr>
            <w:tcW w:w="4515"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r w:rsidRPr="000A5547">
              <w:rPr>
                <w:rFonts w:ascii="Calibri" w:eastAsia="Times New Roman" w:hAnsi="Calibri" w:cs="Arial"/>
                <w:b/>
                <w:bCs/>
                <w:color w:val="000000"/>
                <w:sz w:val="20"/>
                <w:szCs w:val="20"/>
              </w:rPr>
              <w:t xml:space="preserve">1.2 % of housing inspections conducted by fiscal year-to-date and annually </w:t>
            </w:r>
          </w:p>
        </w:tc>
        <w:tc>
          <w:tcPr>
            <w:tcW w:w="810" w:type="dxa"/>
            <w:tcBorders>
              <w:top w:val="nil"/>
              <w:left w:val="nil"/>
              <w:bottom w:val="nil"/>
              <w:right w:val="single" w:sz="4" w:space="0" w:color="auto"/>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25%</w:t>
            </w:r>
          </w:p>
        </w:tc>
        <w:tc>
          <w:tcPr>
            <w:tcW w:w="72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50%</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75%</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85" w:type="dxa"/>
            <w:tcBorders>
              <w:top w:val="nil"/>
              <w:left w:val="nil"/>
              <w:bottom w:val="nil"/>
              <w:right w:val="single" w:sz="8"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474163">
        <w:trPr>
          <w:trHeight w:val="133"/>
        </w:trPr>
        <w:tc>
          <w:tcPr>
            <w:tcW w:w="4515" w:type="dxa"/>
            <w:vMerge/>
            <w:tcBorders>
              <w:top w:val="single" w:sz="8" w:space="0" w:color="auto"/>
              <w:left w:val="single" w:sz="8" w:space="0" w:color="auto"/>
              <w:bottom w:val="single" w:sz="8" w:space="0" w:color="auto"/>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single" w:sz="8" w:space="0" w:color="auto"/>
              <w:right w:val="single" w:sz="4"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46%</w:t>
            </w:r>
          </w:p>
        </w:tc>
        <w:tc>
          <w:tcPr>
            <w:tcW w:w="720" w:type="dxa"/>
            <w:tcBorders>
              <w:top w:val="nil"/>
              <w:left w:val="nil"/>
              <w:bottom w:val="single" w:sz="8" w:space="0" w:color="auto"/>
              <w:right w:val="single" w:sz="4"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85%</w:t>
            </w:r>
          </w:p>
        </w:tc>
        <w:tc>
          <w:tcPr>
            <w:tcW w:w="810" w:type="dxa"/>
            <w:tcBorders>
              <w:top w:val="nil"/>
              <w:left w:val="nil"/>
              <w:bottom w:val="single" w:sz="8" w:space="0" w:color="auto"/>
              <w:right w:val="single" w:sz="4"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120%</w:t>
            </w:r>
          </w:p>
        </w:tc>
        <w:tc>
          <w:tcPr>
            <w:tcW w:w="810" w:type="dxa"/>
            <w:tcBorders>
              <w:top w:val="nil"/>
              <w:left w:val="nil"/>
              <w:bottom w:val="single" w:sz="8" w:space="0" w:color="auto"/>
              <w:right w:val="single" w:sz="4"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154%</w:t>
            </w:r>
          </w:p>
        </w:tc>
        <w:tc>
          <w:tcPr>
            <w:tcW w:w="885" w:type="dxa"/>
            <w:tcBorders>
              <w:top w:val="nil"/>
              <w:left w:val="nil"/>
              <w:bottom w:val="single" w:sz="8" w:space="0" w:color="auto"/>
              <w:right w:val="single" w:sz="8"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154%</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241"/>
        </w:trPr>
        <w:tc>
          <w:tcPr>
            <w:tcW w:w="4515"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r w:rsidRPr="000A5547">
              <w:rPr>
                <w:rFonts w:ascii="Calibri" w:eastAsia="Times New Roman" w:hAnsi="Calibri" w:cs="Arial"/>
                <w:b/>
                <w:bCs/>
                <w:color w:val="000000"/>
                <w:sz w:val="20"/>
                <w:szCs w:val="20"/>
              </w:rPr>
              <w:t xml:space="preserve">1.3 % of pool inspections conducted  by fiscal year-to-date and annually </w:t>
            </w:r>
          </w:p>
        </w:tc>
        <w:tc>
          <w:tcPr>
            <w:tcW w:w="810" w:type="dxa"/>
            <w:tcBorders>
              <w:top w:val="nil"/>
              <w:left w:val="nil"/>
              <w:bottom w:val="nil"/>
              <w:right w:val="single" w:sz="4" w:space="0" w:color="auto"/>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44%</w:t>
            </w:r>
          </w:p>
        </w:tc>
        <w:tc>
          <w:tcPr>
            <w:tcW w:w="72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50%</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56%</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85" w:type="dxa"/>
            <w:tcBorders>
              <w:top w:val="nil"/>
              <w:left w:val="nil"/>
              <w:bottom w:val="nil"/>
              <w:right w:val="single" w:sz="8"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474163">
        <w:trPr>
          <w:trHeight w:val="88"/>
        </w:trPr>
        <w:tc>
          <w:tcPr>
            <w:tcW w:w="4515" w:type="dxa"/>
            <w:vMerge/>
            <w:tcBorders>
              <w:top w:val="single" w:sz="8" w:space="0" w:color="auto"/>
              <w:left w:val="single" w:sz="8" w:space="0" w:color="auto"/>
              <w:bottom w:val="single" w:sz="8" w:space="0" w:color="auto"/>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nil"/>
              <w:right w:val="single" w:sz="4"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43%</w:t>
            </w:r>
          </w:p>
        </w:tc>
        <w:tc>
          <w:tcPr>
            <w:tcW w:w="720" w:type="dxa"/>
            <w:tcBorders>
              <w:top w:val="nil"/>
              <w:left w:val="nil"/>
              <w:bottom w:val="nil"/>
              <w:right w:val="single" w:sz="4"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49%</w:t>
            </w:r>
          </w:p>
        </w:tc>
        <w:tc>
          <w:tcPr>
            <w:tcW w:w="810" w:type="dxa"/>
            <w:tcBorders>
              <w:top w:val="nil"/>
              <w:left w:val="nil"/>
              <w:bottom w:val="nil"/>
              <w:right w:val="single" w:sz="4"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52%</w:t>
            </w:r>
          </w:p>
        </w:tc>
        <w:tc>
          <w:tcPr>
            <w:tcW w:w="810" w:type="dxa"/>
            <w:tcBorders>
              <w:top w:val="nil"/>
              <w:left w:val="nil"/>
              <w:bottom w:val="nil"/>
              <w:right w:val="single" w:sz="4"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129%</w:t>
            </w:r>
          </w:p>
        </w:tc>
        <w:tc>
          <w:tcPr>
            <w:tcW w:w="885" w:type="dxa"/>
            <w:tcBorders>
              <w:top w:val="nil"/>
              <w:left w:val="nil"/>
              <w:bottom w:val="nil"/>
              <w:right w:val="single" w:sz="8"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129%</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241"/>
        </w:trPr>
        <w:tc>
          <w:tcPr>
            <w:tcW w:w="4515"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r w:rsidRPr="000A5547">
              <w:rPr>
                <w:rFonts w:ascii="Calibri" w:eastAsia="Times New Roman" w:hAnsi="Calibri" w:cs="Arial"/>
                <w:b/>
                <w:bCs/>
                <w:color w:val="000000"/>
                <w:sz w:val="20"/>
                <w:szCs w:val="20"/>
              </w:rPr>
              <w:t>1.4 % of salon inspections conducted by fiscal year-to-date and annually</w:t>
            </w:r>
          </w:p>
        </w:tc>
        <w:tc>
          <w:tcPr>
            <w:tcW w:w="810" w:type="dxa"/>
            <w:tcBorders>
              <w:top w:val="nil"/>
              <w:left w:val="nil"/>
              <w:bottom w:val="nil"/>
              <w:right w:val="nil"/>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single" w:sz="8" w:space="0" w:color="auto"/>
              <w:left w:val="single" w:sz="4" w:space="0" w:color="auto"/>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720" w:type="dxa"/>
            <w:tcBorders>
              <w:top w:val="single" w:sz="8" w:space="0" w:color="auto"/>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single" w:sz="8" w:space="0" w:color="auto"/>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single" w:sz="8" w:space="0" w:color="auto"/>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85" w:type="dxa"/>
            <w:tcBorders>
              <w:top w:val="single" w:sz="8" w:space="0" w:color="auto"/>
              <w:left w:val="nil"/>
              <w:bottom w:val="nil"/>
              <w:right w:val="single" w:sz="8"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676365">
        <w:trPr>
          <w:trHeight w:val="60"/>
        </w:trPr>
        <w:tc>
          <w:tcPr>
            <w:tcW w:w="4515" w:type="dxa"/>
            <w:vMerge/>
            <w:tcBorders>
              <w:top w:val="single" w:sz="8" w:space="0" w:color="auto"/>
              <w:left w:val="single" w:sz="8" w:space="0" w:color="auto"/>
              <w:bottom w:val="single" w:sz="8" w:space="0" w:color="auto"/>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p>
        </w:tc>
        <w:tc>
          <w:tcPr>
            <w:tcW w:w="810" w:type="dxa"/>
            <w:tcBorders>
              <w:top w:val="nil"/>
              <w:left w:val="nil"/>
              <w:bottom w:val="single" w:sz="8" w:space="0" w:color="auto"/>
              <w:right w:val="nil"/>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single" w:sz="4" w:space="0" w:color="auto"/>
              <w:bottom w:val="single" w:sz="8" w:space="0" w:color="auto"/>
              <w:right w:val="single" w:sz="4" w:space="0" w:color="auto"/>
            </w:tcBorders>
            <w:shd w:val="clear" w:color="000000" w:fill="C5D9F1"/>
            <w:noWrap/>
            <w:vAlign w:val="bottom"/>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26%</w:t>
            </w:r>
          </w:p>
        </w:tc>
        <w:tc>
          <w:tcPr>
            <w:tcW w:w="720" w:type="dxa"/>
            <w:tcBorders>
              <w:top w:val="nil"/>
              <w:left w:val="nil"/>
              <w:bottom w:val="single" w:sz="8" w:space="0" w:color="auto"/>
              <w:right w:val="single" w:sz="4" w:space="0" w:color="auto"/>
            </w:tcBorders>
            <w:shd w:val="clear" w:color="000000" w:fill="C5D9F1"/>
            <w:noWrap/>
            <w:vAlign w:val="bottom"/>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52%</w:t>
            </w:r>
          </w:p>
        </w:tc>
        <w:tc>
          <w:tcPr>
            <w:tcW w:w="810" w:type="dxa"/>
            <w:tcBorders>
              <w:top w:val="nil"/>
              <w:left w:val="nil"/>
              <w:bottom w:val="single" w:sz="8" w:space="0" w:color="auto"/>
              <w:right w:val="single" w:sz="4" w:space="0" w:color="auto"/>
            </w:tcBorders>
            <w:shd w:val="clear" w:color="000000" w:fill="C5D9F1"/>
            <w:noWrap/>
            <w:vAlign w:val="bottom"/>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78%</w:t>
            </w:r>
          </w:p>
        </w:tc>
        <w:tc>
          <w:tcPr>
            <w:tcW w:w="810" w:type="dxa"/>
            <w:tcBorders>
              <w:top w:val="nil"/>
              <w:left w:val="nil"/>
              <w:bottom w:val="single" w:sz="8" w:space="0" w:color="auto"/>
              <w:right w:val="single" w:sz="4" w:space="0" w:color="auto"/>
            </w:tcBorders>
            <w:shd w:val="clear" w:color="000000" w:fill="C5D9F1"/>
            <w:noWrap/>
            <w:vAlign w:val="bottom"/>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100%</w:t>
            </w:r>
          </w:p>
        </w:tc>
        <w:tc>
          <w:tcPr>
            <w:tcW w:w="885" w:type="dxa"/>
            <w:tcBorders>
              <w:top w:val="nil"/>
              <w:left w:val="nil"/>
              <w:bottom w:val="single" w:sz="8" w:space="0" w:color="auto"/>
              <w:right w:val="single" w:sz="8"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100%</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196"/>
        </w:trPr>
        <w:tc>
          <w:tcPr>
            <w:tcW w:w="4515"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r w:rsidRPr="000A5547">
              <w:rPr>
                <w:rFonts w:ascii="Calibri" w:eastAsia="Times New Roman" w:hAnsi="Calibri" w:cs="Arial"/>
                <w:b/>
                <w:bCs/>
                <w:color w:val="000000"/>
                <w:sz w:val="20"/>
                <w:szCs w:val="20"/>
              </w:rPr>
              <w:t>1.5 % of tanning establishment inspections conducted fiscal year-to-date and annually</w:t>
            </w:r>
          </w:p>
        </w:tc>
        <w:tc>
          <w:tcPr>
            <w:tcW w:w="810" w:type="dxa"/>
            <w:tcBorders>
              <w:top w:val="nil"/>
              <w:left w:val="nil"/>
              <w:bottom w:val="nil"/>
              <w:right w:val="single" w:sz="4" w:space="0" w:color="auto"/>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72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85" w:type="dxa"/>
            <w:tcBorders>
              <w:top w:val="nil"/>
              <w:left w:val="nil"/>
              <w:bottom w:val="nil"/>
              <w:right w:val="single" w:sz="8"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8D073D">
        <w:trPr>
          <w:trHeight w:val="124"/>
        </w:trPr>
        <w:tc>
          <w:tcPr>
            <w:tcW w:w="4515" w:type="dxa"/>
            <w:vMerge/>
            <w:tcBorders>
              <w:top w:val="single" w:sz="8" w:space="0" w:color="auto"/>
              <w:left w:val="single" w:sz="8" w:space="0" w:color="auto"/>
              <w:bottom w:val="single" w:sz="8" w:space="0" w:color="auto"/>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single" w:sz="8" w:space="0" w:color="auto"/>
              <w:right w:val="single" w:sz="4" w:space="0" w:color="auto"/>
            </w:tcBorders>
            <w:shd w:val="clear" w:color="000000" w:fill="C5D9F1"/>
            <w:noWrap/>
            <w:vAlign w:val="bottom"/>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0%</w:t>
            </w:r>
          </w:p>
        </w:tc>
        <w:tc>
          <w:tcPr>
            <w:tcW w:w="720" w:type="dxa"/>
            <w:tcBorders>
              <w:top w:val="nil"/>
              <w:left w:val="nil"/>
              <w:bottom w:val="single" w:sz="8" w:space="0" w:color="auto"/>
              <w:right w:val="single" w:sz="4" w:space="0" w:color="auto"/>
            </w:tcBorders>
            <w:shd w:val="clear" w:color="000000" w:fill="C5D9F1"/>
            <w:noWrap/>
            <w:vAlign w:val="bottom"/>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8%</w:t>
            </w:r>
          </w:p>
        </w:tc>
        <w:tc>
          <w:tcPr>
            <w:tcW w:w="810" w:type="dxa"/>
            <w:tcBorders>
              <w:top w:val="nil"/>
              <w:left w:val="nil"/>
              <w:bottom w:val="single" w:sz="8" w:space="0" w:color="auto"/>
              <w:right w:val="single" w:sz="4" w:space="0" w:color="auto"/>
            </w:tcBorders>
            <w:shd w:val="clear" w:color="000000" w:fill="C5D9F1"/>
            <w:noWrap/>
            <w:vAlign w:val="bottom"/>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n/a</w:t>
            </w:r>
          </w:p>
        </w:tc>
        <w:tc>
          <w:tcPr>
            <w:tcW w:w="810" w:type="dxa"/>
            <w:tcBorders>
              <w:top w:val="nil"/>
              <w:left w:val="nil"/>
              <w:bottom w:val="single" w:sz="8" w:space="0" w:color="auto"/>
              <w:right w:val="single" w:sz="4" w:space="0" w:color="auto"/>
            </w:tcBorders>
            <w:shd w:val="clear" w:color="000000" w:fill="C5D9F1"/>
            <w:noWrap/>
            <w:vAlign w:val="bottom"/>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92%</w:t>
            </w:r>
          </w:p>
        </w:tc>
        <w:tc>
          <w:tcPr>
            <w:tcW w:w="885" w:type="dxa"/>
            <w:tcBorders>
              <w:top w:val="nil"/>
              <w:left w:val="nil"/>
              <w:bottom w:val="single" w:sz="8" w:space="0" w:color="auto"/>
              <w:right w:val="single" w:sz="8"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100%</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178"/>
        </w:trPr>
        <w:tc>
          <w:tcPr>
            <w:tcW w:w="4515"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r w:rsidRPr="000A5547">
              <w:rPr>
                <w:rFonts w:ascii="Calibri" w:eastAsia="Times New Roman" w:hAnsi="Calibri" w:cs="Arial"/>
                <w:b/>
                <w:bCs/>
                <w:color w:val="000000"/>
                <w:sz w:val="20"/>
                <w:szCs w:val="20"/>
              </w:rPr>
              <w:t>1.6 % of massage establishment inspections conducted fiscal year-to-date and annually</w:t>
            </w:r>
          </w:p>
        </w:tc>
        <w:tc>
          <w:tcPr>
            <w:tcW w:w="810" w:type="dxa"/>
            <w:tcBorders>
              <w:top w:val="nil"/>
              <w:left w:val="nil"/>
              <w:bottom w:val="nil"/>
              <w:right w:val="single" w:sz="4" w:space="0" w:color="auto"/>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72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85" w:type="dxa"/>
            <w:tcBorders>
              <w:top w:val="nil"/>
              <w:left w:val="nil"/>
              <w:bottom w:val="nil"/>
              <w:right w:val="single" w:sz="8"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AF34E7">
        <w:trPr>
          <w:trHeight w:val="169"/>
        </w:trPr>
        <w:tc>
          <w:tcPr>
            <w:tcW w:w="4515" w:type="dxa"/>
            <w:vMerge/>
            <w:tcBorders>
              <w:top w:val="single" w:sz="8" w:space="0" w:color="auto"/>
              <w:left w:val="single" w:sz="8" w:space="0" w:color="auto"/>
              <w:bottom w:val="single" w:sz="8" w:space="0" w:color="auto"/>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single" w:sz="8" w:space="0" w:color="auto"/>
              <w:right w:val="single" w:sz="4" w:space="0" w:color="auto"/>
            </w:tcBorders>
            <w:shd w:val="clear" w:color="000000" w:fill="C5D9F1"/>
            <w:noWrap/>
            <w:vAlign w:val="bottom"/>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33%</w:t>
            </w:r>
          </w:p>
        </w:tc>
        <w:tc>
          <w:tcPr>
            <w:tcW w:w="720" w:type="dxa"/>
            <w:tcBorders>
              <w:top w:val="nil"/>
              <w:left w:val="nil"/>
              <w:bottom w:val="single" w:sz="8" w:space="0" w:color="auto"/>
              <w:right w:val="single" w:sz="4" w:space="0" w:color="auto"/>
            </w:tcBorders>
            <w:shd w:val="clear" w:color="000000" w:fill="C5D9F1"/>
            <w:noWrap/>
            <w:vAlign w:val="bottom"/>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58%</w:t>
            </w:r>
          </w:p>
        </w:tc>
        <w:tc>
          <w:tcPr>
            <w:tcW w:w="810" w:type="dxa"/>
            <w:tcBorders>
              <w:top w:val="nil"/>
              <w:left w:val="nil"/>
              <w:bottom w:val="single" w:sz="8" w:space="0" w:color="auto"/>
              <w:right w:val="single" w:sz="4" w:space="0" w:color="auto"/>
            </w:tcBorders>
            <w:shd w:val="clear" w:color="000000" w:fill="C5D9F1"/>
            <w:noWrap/>
            <w:vAlign w:val="bottom"/>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74%</w:t>
            </w:r>
          </w:p>
        </w:tc>
        <w:tc>
          <w:tcPr>
            <w:tcW w:w="810" w:type="dxa"/>
            <w:tcBorders>
              <w:top w:val="nil"/>
              <w:left w:val="nil"/>
              <w:bottom w:val="single" w:sz="8" w:space="0" w:color="auto"/>
              <w:right w:val="single" w:sz="4" w:space="0" w:color="auto"/>
            </w:tcBorders>
            <w:shd w:val="clear" w:color="000000" w:fill="C5D9F1"/>
            <w:noWrap/>
            <w:vAlign w:val="bottom"/>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100%</w:t>
            </w:r>
          </w:p>
        </w:tc>
        <w:tc>
          <w:tcPr>
            <w:tcW w:w="885" w:type="dxa"/>
            <w:tcBorders>
              <w:top w:val="nil"/>
              <w:left w:val="nil"/>
              <w:bottom w:val="single" w:sz="8" w:space="0" w:color="auto"/>
              <w:right w:val="single" w:sz="8" w:space="0" w:color="auto"/>
            </w:tcBorders>
            <w:shd w:val="clear" w:color="000000" w:fill="C5D9F1"/>
            <w:noWrap/>
            <w:vAlign w:val="center"/>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100%</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259"/>
        </w:trPr>
        <w:tc>
          <w:tcPr>
            <w:tcW w:w="4515"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r w:rsidRPr="000A5547">
              <w:rPr>
                <w:rFonts w:ascii="Calibri" w:eastAsia="Times New Roman" w:hAnsi="Calibri" w:cs="Arial"/>
                <w:b/>
                <w:bCs/>
                <w:color w:val="000000"/>
                <w:sz w:val="20"/>
                <w:szCs w:val="20"/>
              </w:rPr>
              <w:t>1.7 % of weights and measures facility inspections conducted fiscal year-to-date and annually</w:t>
            </w:r>
          </w:p>
        </w:tc>
        <w:tc>
          <w:tcPr>
            <w:tcW w:w="810" w:type="dxa"/>
            <w:tcBorders>
              <w:top w:val="nil"/>
              <w:left w:val="nil"/>
              <w:bottom w:val="nil"/>
              <w:right w:val="single" w:sz="4" w:space="0" w:color="auto"/>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25%</w:t>
            </w:r>
          </w:p>
        </w:tc>
        <w:tc>
          <w:tcPr>
            <w:tcW w:w="72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50%</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75%</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85" w:type="dxa"/>
            <w:tcBorders>
              <w:top w:val="nil"/>
              <w:left w:val="nil"/>
              <w:bottom w:val="nil"/>
              <w:right w:val="single" w:sz="8"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0A5547">
        <w:trPr>
          <w:trHeight w:val="106"/>
        </w:trPr>
        <w:tc>
          <w:tcPr>
            <w:tcW w:w="4515" w:type="dxa"/>
            <w:vMerge/>
            <w:tcBorders>
              <w:top w:val="single" w:sz="8" w:space="0" w:color="auto"/>
              <w:left w:val="single" w:sz="8" w:space="0" w:color="auto"/>
              <w:bottom w:val="single" w:sz="8" w:space="0" w:color="auto"/>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27%</w:t>
            </w:r>
          </w:p>
        </w:tc>
        <w:tc>
          <w:tcPr>
            <w:tcW w:w="720" w:type="dxa"/>
            <w:tcBorders>
              <w:top w:val="nil"/>
              <w:left w:val="nil"/>
              <w:bottom w:val="single" w:sz="8" w:space="0" w:color="auto"/>
              <w:right w:val="single" w:sz="4" w:space="0" w:color="auto"/>
            </w:tcBorders>
            <w:shd w:val="clear" w:color="000000" w:fill="C5D9F1"/>
            <w:noWrap/>
            <w:vAlign w:val="center"/>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55%</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80%</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106%</w:t>
            </w:r>
          </w:p>
        </w:tc>
        <w:tc>
          <w:tcPr>
            <w:tcW w:w="885" w:type="dxa"/>
            <w:tcBorders>
              <w:top w:val="nil"/>
              <w:left w:val="nil"/>
              <w:bottom w:val="single" w:sz="8" w:space="0" w:color="auto"/>
              <w:right w:val="single" w:sz="8" w:space="0" w:color="auto"/>
            </w:tcBorders>
            <w:shd w:val="clear" w:color="000000" w:fill="C5D9F1"/>
            <w:noWrap/>
            <w:vAlign w:val="center"/>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106%</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241"/>
        </w:trPr>
        <w:tc>
          <w:tcPr>
            <w:tcW w:w="4515"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r w:rsidRPr="000A5547">
              <w:rPr>
                <w:rFonts w:ascii="Calibri" w:eastAsia="Times New Roman" w:hAnsi="Calibri" w:cs="Arial"/>
                <w:b/>
                <w:bCs/>
                <w:color w:val="000000"/>
                <w:sz w:val="20"/>
                <w:szCs w:val="20"/>
              </w:rPr>
              <w:t>2.1. % of food licenses renewed by due date</w:t>
            </w:r>
          </w:p>
        </w:tc>
        <w:tc>
          <w:tcPr>
            <w:tcW w:w="810" w:type="dxa"/>
            <w:tcBorders>
              <w:top w:val="nil"/>
              <w:left w:val="nil"/>
              <w:bottom w:val="nil"/>
              <w:right w:val="single" w:sz="4" w:space="0" w:color="auto"/>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72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90%</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85" w:type="dxa"/>
            <w:tcBorders>
              <w:top w:val="nil"/>
              <w:left w:val="nil"/>
              <w:bottom w:val="nil"/>
              <w:right w:val="single" w:sz="8"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90%</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0A5547">
        <w:trPr>
          <w:trHeight w:val="133"/>
        </w:trPr>
        <w:tc>
          <w:tcPr>
            <w:tcW w:w="4515" w:type="dxa"/>
            <w:vMerge/>
            <w:tcBorders>
              <w:top w:val="single" w:sz="8" w:space="0" w:color="auto"/>
              <w:left w:val="single" w:sz="8" w:space="0" w:color="auto"/>
              <w:bottom w:val="single" w:sz="8" w:space="0" w:color="auto"/>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single" w:sz="8" w:space="0" w:color="auto"/>
              <w:right w:val="single" w:sz="4" w:space="0" w:color="auto"/>
            </w:tcBorders>
            <w:shd w:val="clear" w:color="000000" w:fill="C5D9F1"/>
            <w:noWrap/>
            <w:vAlign w:val="bottom"/>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n/a</w:t>
            </w:r>
          </w:p>
        </w:tc>
        <w:tc>
          <w:tcPr>
            <w:tcW w:w="720" w:type="dxa"/>
            <w:tcBorders>
              <w:top w:val="nil"/>
              <w:left w:val="nil"/>
              <w:bottom w:val="single" w:sz="8" w:space="0" w:color="auto"/>
              <w:right w:val="single" w:sz="4" w:space="0" w:color="auto"/>
            </w:tcBorders>
            <w:shd w:val="clear" w:color="000000" w:fill="C5D9F1"/>
            <w:noWrap/>
            <w:vAlign w:val="bottom"/>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n/a</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97%</w:t>
            </w:r>
          </w:p>
        </w:tc>
        <w:tc>
          <w:tcPr>
            <w:tcW w:w="810" w:type="dxa"/>
            <w:tcBorders>
              <w:top w:val="nil"/>
              <w:left w:val="nil"/>
              <w:bottom w:val="single" w:sz="8" w:space="0" w:color="auto"/>
              <w:right w:val="single" w:sz="4" w:space="0" w:color="auto"/>
            </w:tcBorders>
            <w:shd w:val="clear" w:color="000000" w:fill="C5D9F1"/>
            <w:noWrap/>
            <w:vAlign w:val="bottom"/>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n/a</w:t>
            </w:r>
          </w:p>
        </w:tc>
        <w:tc>
          <w:tcPr>
            <w:tcW w:w="885" w:type="dxa"/>
            <w:tcBorders>
              <w:top w:val="nil"/>
              <w:left w:val="nil"/>
              <w:bottom w:val="single" w:sz="8" w:space="0" w:color="auto"/>
              <w:right w:val="single" w:sz="8" w:space="0" w:color="auto"/>
            </w:tcBorders>
            <w:shd w:val="clear" w:color="000000" w:fill="C5D9F1"/>
            <w:noWrap/>
            <w:vAlign w:val="center"/>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97%</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255"/>
        </w:trPr>
        <w:tc>
          <w:tcPr>
            <w:tcW w:w="4515"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r w:rsidRPr="000A5547">
              <w:rPr>
                <w:rFonts w:ascii="Calibri" w:eastAsia="Times New Roman" w:hAnsi="Calibri" w:cs="Arial"/>
                <w:b/>
                <w:bCs/>
                <w:color w:val="000000"/>
                <w:sz w:val="20"/>
                <w:szCs w:val="20"/>
              </w:rPr>
              <w:t>2.2 % of salon licenses renewed by due date</w:t>
            </w:r>
          </w:p>
        </w:tc>
        <w:tc>
          <w:tcPr>
            <w:tcW w:w="810" w:type="dxa"/>
            <w:tcBorders>
              <w:top w:val="nil"/>
              <w:left w:val="nil"/>
              <w:bottom w:val="nil"/>
              <w:right w:val="single" w:sz="4" w:space="0" w:color="auto"/>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72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90%</w:t>
            </w:r>
          </w:p>
        </w:tc>
        <w:tc>
          <w:tcPr>
            <w:tcW w:w="885" w:type="dxa"/>
            <w:tcBorders>
              <w:top w:val="nil"/>
              <w:left w:val="nil"/>
              <w:bottom w:val="nil"/>
              <w:right w:val="single" w:sz="8"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90%</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0A5547">
        <w:trPr>
          <w:trHeight w:val="60"/>
        </w:trPr>
        <w:tc>
          <w:tcPr>
            <w:tcW w:w="4515" w:type="dxa"/>
            <w:vMerge/>
            <w:tcBorders>
              <w:top w:val="single" w:sz="8" w:space="0" w:color="auto"/>
              <w:left w:val="single" w:sz="8" w:space="0" w:color="auto"/>
              <w:bottom w:val="single" w:sz="8" w:space="0" w:color="auto"/>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single" w:sz="8" w:space="0" w:color="auto"/>
              <w:right w:val="single" w:sz="4" w:space="0" w:color="auto"/>
            </w:tcBorders>
            <w:shd w:val="clear" w:color="000000" w:fill="C5D9F1"/>
            <w:noWrap/>
            <w:vAlign w:val="bottom"/>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n/a</w:t>
            </w:r>
          </w:p>
        </w:tc>
        <w:tc>
          <w:tcPr>
            <w:tcW w:w="720" w:type="dxa"/>
            <w:tcBorders>
              <w:top w:val="nil"/>
              <w:left w:val="nil"/>
              <w:bottom w:val="single" w:sz="8" w:space="0" w:color="auto"/>
              <w:right w:val="single" w:sz="4" w:space="0" w:color="auto"/>
            </w:tcBorders>
            <w:shd w:val="clear" w:color="000000" w:fill="C5D9F1"/>
            <w:noWrap/>
            <w:vAlign w:val="bottom"/>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n/a</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n/a</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92%</w:t>
            </w:r>
          </w:p>
        </w:tc>
        <w:tc>
          <w:tcPr>
            <w:tcW w:w="885" w:type="dxa"/>
            <w:tcBorders>
              <w:top w:val="nil"/>
              <w:left w:val="nil"/>
              <w:bottom w:val="single" w:sz="8" w:space="0" w:color="auto"/>
              <w:right w:val="single" w:sz="8" w:space="0" w:color="auto"/>
            </w:tcBorders>
            <w:shd w:val="clear" w:color="000000" w:fill="C5D9F1"/>
            <w:noWrap/>
            <w:vAlign w:val="center"/>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92%</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270"/>
        </w:trPr>
        <w:tc>
          <w:tcPr>
            <w:tcW w:w="4515"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r w:rsidRPr="000A5547">
              <w:rPr>
                <w:rFonts w:ascii="Calibri" w:eastAsia="Times New Roman" w:hAnsi="Calibri" w:cs="Arial"/>
                <w:b/>
                <w:bCs/>
                <w:color w:val="000000"/>
                <w:sz w:val="20"/>
                <w:szCs w:val="20"/>
              </w:rPr>
              <w:t>2.3 % of pool licenses renewed by due date</w:t>
            </w:r>
          </w:p>
        </w:tc>
        <w:tc>
          <w:tcPr>
            <w:tcW w:w="810" w:type="dxa"/>
            <w:tcBorders>
              <w:top w:val="nil"/>
              <w:left w:val="nil"/>
              <w:bottom w:val="nil"/>
              <w:right w:val="single" w:sz="4" w:space="0" w:color="auto"/>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72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90%</w:t>
            </w:r>
          </w:p>
        </w:tc>
        <w:tc>
          <w:tcPr>
            <w:tcW w:w="885" w:type="dxa"/>
            <w:tcBorders>
              <w:top w:val="nil"/>
              <w:left w:val="nil"/>
              <w:bottom w:val="nil"/>
              <w:right w:val="single" w:sz="8"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90%</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0A5547">
        <w:trPr>
          <w:trHeight w:val="196"/>
        </w:trPr>
        <w:tc>
          <w:tcPr>
            <w:tcW w:w="4515" w:type="dxa"/>
            <w:vMerge/>
            <w:tcBorders>
              <w:top w:val="single" w:sz="8" w:space="0" w:color="auto"/>
              <w:left w:val="single" w:sz="8" w:space="0" w:color="auto"/>
              <w:bottom w:val="single" w:sz="8" w:space="0" w:color="auto"/>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single" w:sz="8" w:space="0" w:color="auto"/>
              <w:right w:val="single" w:sz="4" w:space="0" w:color="auto"/>
            </w:tcBorders>
            <w:shd w:val="clear" w:color="000000" w:fill="C5D9F1"/>
            <w:noWrap/>
            <w:vAlign w:val="bottom"/>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n/a</w:t>
            </w:r>
          </w:p>
        </w:tc>
        <w:tc>
          <w:tcPr>
            <w:tcW w:w="720" w:type="dxa"/>
            <w:tcBorders>
              <w:top w:val="nil"/>
              <w:left w:val="nil"/>
              <w:bottom w:val="single" w:sz="8" w:space="0" w:color="auto"/>
              <w:right w:val="single" w:sz="4" w:space="0" w:color="auto"/>
            </w:tcBorders>
            <w:shd w:val="clear" w:color="000000" w:fill="C5D9F1"/>
            <w:noWrap/>
            <w:vAlign w:val="bottom"/>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n/a</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n/a</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96%</w:t>
            </w:r>
          </w:p>
        </w:tc>
        <w:tc>
          <w:tcPr>
            <w:tcW w:w="885" w:type="dxa"/>
            <w:tcBorders>
              <w:top w:val="nil"/>
              <w:left w:val="nil"/>
              <w:bottom w:val="single" w:sz="8" w:space="0" w:color="auto"/>
              <w:right w:val="single" w:sz="8" w:space="0" w:color="auto"/>
            </w:tcBorders>
            <w:shd w:val="clear" w:color="000000" w:fill="C5D9F1"/>
            <w:noWrap/>
            <w:vAlign w:val="center"/>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96%</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255"/>
        </w:trPr>
        <w:tc>
          <w:tcPr>
            <w:tcW w:w="4515"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r w:rsidRPr="000A5547">
              <w:rPr>
                <w:rFonts w:ascii="Calibri" w:eastAsia="Times New Roman" w:hAnsi="Calibri" w:cs="Arial"/>
                <w:b/>
                <w:bCs/>
                <w:color w:val="000000"/>
                <w:sz w:val="20"/>
                <w:szCs w:val="20"/>
              </w:rPr>
              <w:t>3.2 # of standardization trainings conducted per year</w:t>
            </w:r>
          </w:p>
        </w:tc>
        <w:tc>
          <w:tcPr>
            <w:tcW w:w="810" w:type="dxa"/>
            <w:tcBorders>
              <w:top w:val="nil"/>
              <w:left w:val="nil"/>
              <w:bottom w:val="nil"/>
              <w:right w:val="single" w:sz="4" w:space="0" w:color="auto"/>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72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85" w:type="dxa"/>
            <w:tcBorders>
              <w:top w:val="nil"/>
              <w:left w:val="nil"/>
              <w:bottom w:val="nil"/>
              <w:right w:val="single" w:sz="8"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0A5547">
        <w:trPr>
          <w:trHeight w:val="268"/>
        </w:trPr>
        <w:tc>
          <w:tcPr>
            <w:tcW w:w="4515" w:type="dxa"/>
            <w:vMerge/>
            <w:tcBorders>
              <w:top w:val="single" w:sz="8" w:space="0" w:color="auto"/>
              <w:left w:val="single" w:sz="8" w:space="0" w:color="auto"/>
              <w:bottom w:val="single" w:sz="8" w:space="0" w:color="auto"/>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single" w:sz="8" w:space="0" w:color="auto"/>
              <w:right w:val="single" w:sz="4" w:space="0" w:color="auto"/>
            </w:tcBorders>
            <w:shd w:val="clear" w:color="000000" w:fill="C5D9F1"/>
            <w:noWrap/>
            <w:vAlign w:val="bottom"/>
            <w:hideMark/>
          </w:tcPr>
          <w:p w:rsidR="00474163" w:rsidRPr="00C74605" w:rsidRDefault="00474163" w:rsidP="00474163">
            <w:pPr>
              <w:spacing w:after="0"/>
              <w:jc w:val="center"/>
              <w:rPr>
                <w:rFonts w:ascii="Calibri" w:hAnsi="Calibri" w:cs="Arial"/>
                <w:color w:val="000000"/>
                <w:sz w:val="21"/>
                <w:szCs w:val="21"/>
              </w:rPr>
            </w:pPr>
            <w:r w:rsidRPr="00C74605">
              <w:rPr>
                <w:rFonts w:ascii="Calibri" w:hAnsi="Calibri" w:cs="Arial"/>
                <w:color w:val="000000"/>
                <w:sz w:val="21"/>
                <w:szCs w:val="21"/>
              </w:rPr>
              <w:t>0%</w:t>
            </w:r>
          </w:p>
        </w:tc>
        <w:tc>
          <w:tcPr>
            <w:tcW w:w="720" w:type="dxa"/>
            <w:tcBorders>
              <w:top w:val="nil"/>
              <w:left w:val="nil"/>
              <w:bottom w:val="single" w:sz="8" w:space="0" w:color="auto"/>
              <w:right w:val="single" w:sz="4" w:space="0" w:color="auto"/>
            </w:tcBorders>
            <w:shd w:val="clear" w:color="000000" w:fill="C5D9F1"/>
            <w:noWrap/>
            <w:vAlign w:val="center"/>
            <w:hideMark/>
          </w:tcPr>
          <w:p w:rsidR="00474163" w:rsidRPr="00C74605" w:rsidRDefault="001F15C5" w:rsidP="001F15C5">
            <w:pPr>
              <w:spacing w:after="0"/>
              <w:jc w:val="center"/>
              <w:rPr>
                <w:rFonts w:ascii="Calibri" w:hAnsi="Calibri" w:cs="Arial"/>
                <w:color w:val="000000"/>
                <w:sz w:val="21"/>
                <w:szCs w:val="21"/>
              </w:rPr>
            </w:pPr>
            <w:r w:rsidRPr="00C74605">
              <w:rPr>
                <w:rFonts w:ascii="Calibri" w:hAnsi="Calibri" w:cs="Arial"/>
                <w:color w:val="000000"/>
                <w:sz w:val="21"/>
                <w:szCs w:val="21"/>
              </w:rPr>
              <w:t>50</w:t>
            </w:r>
            <w:r w:rsidR="00474163" w:rsidRPr="00C74605">
              <w:rPr>
                <w:rFonts w:ascii="Calibri" w:hAnsi="Calibri" w:cs="Arial"/>
                <w:color w:val="000000"/>
                <w:sz w:val="21"/>
                <w:szCs w:val="21"/>
              </w:rPr>
              <w:t>%</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Pr="00C74605" w:rsidRDefault="001F15C5" w:rsidP="00474163">
            <w:pPr>
              <w:spacing w:after="0"/>
              <w:jc w:val="center"/>
              <w:rPr>
                <w:rFonts w:ascii="Calibri" w:hAnsi="Calibri" w:cs="Arial"/>
                <w:color w:val="000000"/>
                <w:sz w:val="21"/>
                <w:szCs w:val="21"/>
              </w:rPr>
            </w:pPr>
            <w:r w:rsidRPr="00C74605">
              <w:rPr>
                <w:rFonts w:ascii="Calibri" w:hAnsi="Calibri" w:cs="Arial"/>
                <w:color w:val="000000"/>
                <w:sz w:val="21"/>
                <w:szCs w:val="21"/>
              </w:rPr>
              <w:t>0%</w:t>
            </w:r>
            <w:r w:rsidR="00474163" w:rsidRPr="00C74605">
              <w:rPr>
                <w:rFonts w:ascii="Calibri" w:hAnsi="Calibri" w:cs="Arial"/>
                <w:color w:val="000000"/>
                <w:sz w:val="21"/>
                <w:szCs w:val="21"/>
              </w:rPr>
              <w:t> </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Pr="00C74605" w:rsidRDefault="001F15C5" w:rsidP="001F15C5">
            <w:pPr>
              <w:spacing w:after="0"/>
              <w:jc w:val="center"/>
              <w:rPr>
                <w:rFonts w:ascii="Calibri" w:hAnsi="Calibri" w:cs="Arial"/>
                <w:color w:val="000000"/>
                <w:sz w:val="21"/>
                <w:szCs w:val="21"/>
              </w:rPr>
            </w:pPr>
            <w:r w:rsidRPr="00C74605">
              <w:rPr>
                <w:rFonts w:ascii="Calibri" w:hAnsi="Calibri" w:cs="Arial"/>
                <w:color w:val="000000"/>
                <w:sz w:val="21"/>
                <w:szCs w:val="21"/>
              </w:rPr>
              <w:t>50</w:t>
            </w:r>
            <w:r w:rsidR="00474163" w:rsidRPr="00C74605">
              <w:rPr>
                <w:rFonts w:ascii="Calibri" w:hAnsi="Calibri" w:cs="Arial"/>
                <w:color w:val="000000"/>
                <w:sz w:val="21"/>
                <w:szCs w:val="21"/>
              </w:rPr>
              <w:t>%</w:t>
            </w:r>
          </w:p>
        </w:tc>
        <w:tc>
          <w:tcPr>
            <w:tcW w:w="885" w:type="dxa"/>
            <w:tcBorders>
              <w:top w:val="nil"/>
              <w:left w:val="nil"/>
              <w:bottom w:val="single" w:sz="8" w:space="0" w:color="auto"/>
              <w:right w:val="single" w:sz="8" w:space="0" w:color="auto"/>
            </w:tcBorders>
            <w:shd w:val="clear" w:color="000000" w:fill="C5D9F1"/>
            <w:noWrap/>
            <w:vAlign w:val="center"/>
            <w:hideMark/>
          </w:tcPr>
          <w:p w:rsidR="00474163" w:rsidRPr="00C74605" w:rsidRDefault="00474163" w:rsidP="00474163">
            <w:pPr>
              <w:spacing w:after="0"/>
              <w:jc w:val="center"/>
              <w:rPr>
                <w:rFonts w:ascii="Calibri" w:hAnsi="Calibri" w:cs="Arial"/>
                <w:color w:val="000000"/>
                <w:sz w:val="21"/>
                <w:szCs w:val="21"/>
              </w:rPr>
            </w:pPr>
            <w:r w:rsidRPr="00C74605">
              <w:rPr>
                <w:rFonts w:ascii="Calibri" w:hAnsi="Calibri" w:cs="Arial"/>
                <w:color w:val="000000"/>
                <w:sz w:val="21"/>
                <w:szCs w:val="21"/>
              </w:rPr>
              <w:t>100%</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259"/>
        </w:trPr>
        <w:tc>
          <w:tcPr>
            <w:tcW w:w="4515"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r w:rsidRPr="000A5547">
              <w:rPr>
                <w:rFonts w:ascii="Calibri" w:eastAsia="Times New Roman" w:hAnsi="Calibri" w:cs="Arial"/>
                <w:b/>
                <w:bCs/>
                <w:color w:val="000000"/>
                <w:sz w:val="20"/>
                <w:szCs w:val="20"/>
              </w:rPr>
              <w:t>4.1 % of food establishment orders into code compliance within time frames</w:t>
            </w:r>
          </w:p>
        </w:tc>
        <w:tc>
          <w:tcPr>
            <w:tcW w:w="810" w:type="dxa"/>
            <w:tcBorders>
              <w:top w:val="nil"/>
              <w:left w:val="nil"/>
              <w:bottom w:val="nil"/>
              <w:right w:val="single" w:sz="4" w:space="0" w:color="auto"/>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72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85" w:type="dxa"/>
            <w:tcBorders>
              <w:top w:val="nil"/>
              <w:left w:val="nil"/>
              <w:bottom w:val="nil"/>
              <w:right w:val="single" w:sz="4" w:space="0" w:color="auto"/>
            </w:tcBorders>
            <w:shd w:val="clear" w:color="auto" w:fill="auto"/>
            <w:noWrap/>
            <w:vAlign w:val="center"/>
            <w:hideMark/>
          </w:tcPr>
          <w:p w:rsidR="00474163" w:rsidRPr="000A5547" w:rsidRDefault="00961A90" w:rsidP="00474163">
            <w:pPr>
              <w:spacing w:after="0" w:line="240" w:lineRule="auto"/>
              <w:jc w:val="center"/>
              <w:rPr>
                <w:rFonts w:ascii="Calibri" w:eastAsia="Times New Roman" w:hAnsi="Calibri" w:cs="Arial"/>
                <w:color w:val="000000"/>
                <w:sz w:val="21"/>
                <w:szCs w:val="21"/>
              </w:rPr>
            </w:pPr>
            <w:r>
              <w:rPr>
                <w:rFonts w:ascii="Calibri" w:eastAsia="Times New Roman" w:hAnsi="Calibri" w:cs="Arial"/>
                <w:color w:val="000000"/>
                <w:sz w:val="21"/>
                <w:szCs w:val="21"/>
              </w:rPr>
              <w:t>100</w:t>
            </w:r>
            <w:r w:rsidR="00474163" w:rsidRPr="000A5547">
              <w:rPr>
                <w:rFonts w:ascii="Calibri" w:eastAsia="Times New Roman" w:hAnsi="Calibri" w:cs="Arial"/>
                <w:color w:val="000000"/>
                <w:sz w:val="21"/>
                <w:szCs w:val="21"/>
              </w:rPr>
              <w:t>%</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0A5547">
        <w:trPr>
          <w:trHeight w:val="223"/>
        </w:trPr>
        <w:tc>
          <w:tcPr>
            <w:tcW w:w="4515" w:type="dxa"/>
            <w:vMerge/>
            <w:tcBorders>
              <w:top w:val="single" w:sz="8" w:space="0" w:color="auto"/>
              <w:left w:val="single" w:sz="8" w:space="0" w:color="auto"/>
              <w:bottom w:val="single" w:sz="8" w:space="0" w:color="auto"/>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720" w:type="dxa"/>
            <w:tcBorders>
              <w:top w:val="nil"/>
              <w:left w:val="nil"/>
              <w:bottom w:val="single" w:sz="8" w:space="0" w:color="auto"/>
              <w:right w:val="single" w:sz="4" w:space="0" w:color="auto"/>
            </w:tcBorders>
            <w:shd w:val="clear" w:color="000000" w:fill="C5D9F1"/>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85" w:type="dxa"/>
            <w:tcBorders>
              <w:top w:val="nil"/>
              <w:left w:val="nil"/>
              <w:bottom w:val="single" w:sz="8" w:space="0" w:color="auto"/>
              <w:right w:val="single" w:sz="8" w:space="0" w:color="auto"/>
            </w:tcBorders>
            <w:shd w:val="clear" w:color="000000" w:fill="C5D9F1"/>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241"/>
        </w:trPr>
        <w:tc>
          <w:tcPr>
            <w:tcW w:w="4515"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r w:rsidRPr="000A5547">
              <w:rPr>
                <w:rFonts w:ascii="Calibri" w:eastAsia="Times New Roman" w:hAnsi="Calibri" w:cs="Arial"/>
                <w:b/>
                <w:bCs/>
                <w:color w:val="000000"/>
                <w:sz w:val="20"/>
                <w:szCs w:val="20"/>
              </w:rPr>
              <w:t xml:space="preserve">4.2 % of eligible food establishments receiving Lighthouse Awards </w:t>
            </w:r>
          </w:p>
        </w:tc>
        <w:tc>
          <w:tcPr>
            <w:tcW w:w="810" w:type="dxa"/>
            <w:tcBorders>
              <w:top w:val="nil"/>
              <w:left w:val="nil"/>
              <w:bottom w:val="nil"/>
              <w:right w:val="single" w:sz="4" w:space="0" w:color="auto"/>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72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n/a</w:t>
            </w:r>
          </w:p>
        </w:tc>
        <w:tc>
          <w:tcPr>
            <w:tcW w:w="885" w:type="dxa"/>
            <w:tcBorders>
              <w:top w:val="nil"/>
              <w:left w:val="nil"/>
              <w:bottom w:val="nil"/>
              <w:right w:val="single" w:sz="8" w:space="0" w:color="auto"/>
            </w:tcBorders>
            <w:shd w:val="clear" w:color="auto" w:fill="auto"/>
            <w:noWrap/>
            <w:vAlign w:val="center"/>
            <w:hideMark/>
          </w:tcPr>
          <w:p w:rsidR="00474163" w:rsidRPr="000A5547" w:rsidRDefault="00474163" w:rsidP="00474163">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40%</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0A5547">
        <w:trPr>
          <w:trHeight w:val="196"/>
        </w:trPr>
        <w:tc>
          <w:tcPr>
            <w:tcW w:w="4515" w:type="dxa"/>
            <w:vMerge/>
            <w:tcBorders>
              <w:top w:val="single" w:sz="8" w:space="0" w:color="auto"/>
              <w:left w:val="single" w:sz="8" w:space="0" w:color="auto"/>
              <w:bottom w:val="single" w:sz="8" w:space="0" w:color="auto"/>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color w:val="000000"/>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single" w:sz="8" w:space="0" w:color="auto"/>
              <w:right w:val="single" w:sz="4" w:space="0" w:color="auto"/>
            </w:tcBorders>
            <w:shd w:val="clear" w:color="000000" w:fill="C5D9F1"/>
            <w:noWrap/>
            <w:vAlign w:val="bottom"/>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n/a</w:t>
            </w:r>
          </w:p>
        </w:tc>
        <w:tc>
          <w:tcPr>
            <w:tcW w:w="720" w:type="dxa"/>
            <w:tcBorders>
              <w:top w:val="nil"/>
              <w:left w:val="nil"/>
              <w:bottom w:val="single" w:sz="8" w:space="0" w:color="auto"/>
              <w:right w:val="single" w:sz="4" w:space="0" w:color="auto"/>
            </w:tcBorders>
            <w:shd w:val="clear" w:color="000000" w:fill="C5D9F1"/>
            <w:noWrap/>
            <w:vAlign w:val="bottom"/>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47%</w:t>
            </w:r>
          </w:p>
        </w:tc>
        <w:tc>
          <w:tcPr>
            <w:tcW w:w="810" w:type="dxa"/>
            <w:tcBorders>
              <w:top w:val="nil"/>
              <w:left w:val="nil"/>
              <w:bottom w:val="single" w:sz="8" w:space="0" w:color="auto"/>
              <w:right w:val="single" w:sz="4" w:space="0" w:color="auto"/>
            </w:tcBorders>
            <w:shd w:val="clear" w:color="000000" w:fill="C5D9F1"/>
            <w:noWrap/>
            <w:vAlign w:val="bottom"/>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n/a</w:t>
            </w:r>
          </w:p>
        </w:tc>
        <w:tc>
          <w:tcPr>
            <w:tcW w:w="810" w:type="dxa"/>
            <w:tcBorders>
              <w:top w:val="nil"/>
              <w:left w:val="nil"/>
              <w:bottom w:val="single" w:sz="8" w:space="0" w:color="auto"/>
              <w:right w:val="single" w:sz="4" w:space="0" w:color="auto"/>
            </w:tcBorders>
            <w:shd w:val="clear" w:color="000000" w:fill="C5D9F1"/>
            <w:noWrap/>
            <w:vAlign w:val="bottom"/>
            <w:hideMark/>
          </w:tcPr>
          <w:p w:rsidR="00474163" w:rsidRDefault="00474163" w:rsidP="00474163">
            <w:pPr>
              <w:spacing w:after="0"/>
              <w:jc w:val="center"/>
              <w:rPr>
                <w:rFonts w:ascii="Calibri" w:hAnsi="Calibri" w:cs="Arial"/>
                <w:color w:val="000000"/>
                <w:sz w:val="21"/>
                <w:szCs w:val="21"/>
              </w:rPr>
            </w:pPr>
            <w:r>
              <w:rPr>
                <w:rFonts w:ascii="Calibri" w:hAnsi="Calibri" w:cs="Arial"/>
                <w:color w:val="000000"/>
                <w:sz w:val="21"/>
                <w:szCs w:val="21"/>
              </w:rPr>
              <w:t>n/a</w:t>
            </w:r>
          </w:p>
        </w:tc>
        <w:tc>
          <w:tcPr>
            <w:tcW w:w="885" w:type="dxa"/>
            <w:tcBorders>
              <w:top w:val="nil"/>
              <w:left w:val="nil"/>
              <w:bottom w:val="single" w:sz="8" w:space="0" w:color="auto"/>
              <w:right w:val="single" w:sz="8" w:space="0" w:color="auto"/>
            </w:tcBorders>
            <w:shd w:val="clear" w:color="000000" w:fill="C5D9F1"/>
            <w:noWrap/>
            <w:vAlign w:val="bottom"/>
            <w:hideMark/>
          </w:tcPr>
          <w:p w:rsidR="00474163" w:rsidRDefault="00961A90" w:rsidP="00474163">
            <w:pPr>
              <w:spacing w:after="0"/>
              <w:jc w:val="center"/>
              <w:rPr>
                <w:rFonts w:ascii="Calibri" w:hAnsi="Calibri" w:cs="Arial"/>
                <w:color w:val="000000"/>
                <w:sz w:val="21"/>
                <w:szCs w:val="21"/>
              </w:rPr>
            </w:pPr>
            <w:r>
              <w:rPr>
                <w:rFonts w:ascii="Calibri" w:hAnsi="Calibri" w:cs="Arial"/>
                <w:color w:val="000000"/>
                <w:sz w:val="21"/>
                <w:szCs w:val="21"/>
              </w:rPr>
              <w:t>50</w:t>
            </w:r>
            <w:r w:rsidR="00474163">
              <w:rPr>
                <w:rFonts w:ascii="Calibri" w:hAnsi="Calibri" w:cs="Arial"/>
                <w:color w:val="000000"/>
                <w:sz w:val="21"/>
                <w:szCs w:val="21"/>
              </w:rPr>
              <w:t>%</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223"/>
        </w:trPr>
        <w:tc>
          <w:tcPr>
            <w:tcW w:w="45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sz w:val="20"/>
                <w:szCs w:val="20"/>
              </w:rPr>
            </w:pPr>
            <w:r w:rsidRPr="000A5547">
              <w:rPr>
                <w:rFonts w:ascii="Calibri" w:eastAsia="Times New Roman" w:hAnsi="Calibri" w:cs="Arial"/>
                <w:b/>
                <w:bCs/>
                <w:sz w:val="20"/>
                <w:szCs w:val="20"/>
              </w:rPr>
              <w:t>4.3 % of foodborne outbreak investigations initiated within 48 business hours</w:t>
            </w:r>
          </w:p>
        </w:tc>
        <w:tc>
          <w:tcPr>
            <w:tcW w:w="810" w:type="dxa"/>
            <w:tcBorders>
              <w:top w:val="nil"/>
              <w:left w:val="nil"/>
              <w:bottom w:val="nil"/>
              <w:right w:val="single" w:sz="4" w:space="0" w:color="auto"/>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72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85"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0A5547">
        <w:trPr>
          <w:trHeight w:val="133"/>
        </w:trPr>
        <w:tc>
          <w:tcPr>
            <w:tcW w:w="4515" w:type="dxa"/>
            <w:vMerge/>
            <w:tcBorders>
              <w:top w:val="single" w:sz="8" w:space="0" w:color="auto"/>
              <w:left w:val="single" w:sz="8" w:space="0" w:color="auto"/>
              <w:bottom w:val="single" w:sz="8" w:space="0" w:color="000000"/>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720" w:type="dxa"/>
            <w:tcBorders>
              <w:top w:val="nil"/>
              <w:left w:val="nil"/>
              <w:bottom w:val="single" w:sz="8" w:space="0" w:color="auto"/>
              <w:right w:val="single" w:sz="4" w:space="0" w:color="auto"/>
            </w:tcBorders>
            <w:shd w:val="clear" w:color="000000" w:fill="C5D9F1"/>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Pr="000A5547" w:rsidRDefault="00474163" w:rsidP="000A5547">
            <w:pPr>
              <w:spacing w:after="0" w:line="240" w:lineRule="auto"/>
              <w:jc w:val="center"/>
              <w:rPr>
                <w:rFonts w:ascii="Calibri" w:eastAsia="Times New Roman" w:hAnsi="Calibri" w:cs="Arial"/>
                <w:sz w:val="21"/>
                <w:szCs w:val="21"/>
              </w:rPr>
            </w:pPr>
            <w:r w:rsidRPr="000A5547">
              <w:rPr>
                <w:rFonts w:ascii="Calibri" w:eastAsia="Times New Roman" w:hAnsi="Calibri" w:cs="Arial"/>
                <w:sz w:val="21"/>
                <w:szCs w:val="21"/>
              </w:rPr>
              <w:t>100%</w:t>
            </w:r>
          </w:p>
        </w:tc>
        <w:tc>
          <w:tcPr>
            <w:tcW w:w="885" w:type="dxa"/>
            <w:tcBorders>
              <w:top w:val="nil"/>
              <w:left w:val="nil"/>
              <w:bottom w:val="single" w:sz="8" w:space="0" w:color="auto"/>
              <w:right w:val="nil"/>
            </w:tcBorders>
            <w:shd w:val="clear" w:color="000000" w:fill="C5D9F1"/>
            <w:noWrap/>
            <w:vAlign w:val="center"/>
            <w:hideMark/>
          </w:tcPr>
          <w:p w:rsidR="00474163" w:rsidRPr="000A5547" w:rsidRDefault="00474163" w:rsidP="000A5547">
            <w:pPr>
              <w:spacing w:after="0" w:line="240" w:lineRule="auto"/>
              <w:jc w:val="center"/>
              <w:rPr>
                <w:rFonts w:ascii="Calibri" w:eastAsia="Times New Roman" w:hAnsi="Calibri" w:cs="Arial"/>
                <w:sz w:val="21"/>
                <w:szCs w:val="21"/>
              </w:rPr>
            </w:pPr>
            <w:r w:rsidRPr="000A5547">
              <w:rPr>
                <w:rFonts w:ascii="Calibri" w:eastAsia="Times New Roman" w:hAnsi="Calibri" w:cs="Arial"/>
                <w:sz w:val="21"/>
                <w:szCs w:val="21"/>
              </w:rPr>
              <w:t>100%</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r w:rsidR="00474163" w:rsidRPr="000A5547" w:rsidTr="000A5547">
        <w:trPr>
          <w:trHeight w:val="304"/>
        </w:trPr>
        <w:tc>
          <w:tcPr>
            <w:tcW w:w="45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sz w:val="20"/>
                <w:szCs w:val="20"/>
              </w:rPr>
            </w:pPr>
            <w:r w:rsidRPr="000A5547">
              <w:rPr>
                <w:rFonts w:ascii="Calibri" w:eastAsia="Times New Roman" w:hAnsi="Calibri" w:cs="Arial"/>
                <w:b/>
                <w:bCs/>
                <w:sz w:val="20"/>
                <w:szCs w:val="20"/>
              </w:rPr>
              <w:t>4.4 % of comprehensive lead investigations completed for children with blood lead levels greater than 15 micrograms per deciliter</w:t>
            </w:r>
          </w:p>
        </w:tc>
        <w:tc>
          <w:tcPr>
            <w:tcW w:w="810" w:type="dxa"/>
            <w:tcBorders>
              <w:top w:val="nil"/>
              <w:left w:val="nil"/>
              <w:bottom w:val="nil"/>
              <w:right w:val="single" w:sz="4" w:space="0" w:color="auto"/>
            </w:tcBorders>
            <w:shd w:val="clear" w:color="auto" w:fill="auto"/>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Target</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72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10"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85" w:type="dxa"/>
            <w:tcBorders>
              <w:top w:val="nil"/>
              <w:left w:val="nil"/>
              <w:bottom w:val="nil"/>
              <w:right w:val="single" w:sz="4" w:space="0" w:color="auto"/>
            </w:tcBorders>
            <w:shd w:val="clear" w:color="auto" w:fill="auto"/>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960"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74163" w:rsidRPr="000A5547" w:rsidRDefault="00474163" w:rsidP="000A5547">
            <w:pPr>
              <w:spacing w:after="0" w:line="240" w:lineRule="auto"/>
              <w:jc w:val="center"/>
              <w:rPr>
                <w:rFonts w:ascii="Calibri" w:eastAsia="Times New Roman" w:hAnsi="Calibri" w:cs="Arial"/>
                <w:b/>
                <w:bCs/>
                <w:color w:val="FFFFFF"/>
                <w:sz w:val="40"/>
                <w:szCs w:val="40"/>
              </w:rPr>
            </w:pPr>
            <w:r w:rsidRPr="000A5547">
              <w:rPr>
                <w:rFonts w:ascii="Calibri" w:eastAsia="Times New Roman" w:hAnsi="Calibri" w:cs="Arial"/>
                <w:b/>
                <w:bCs/>
                <w:color w:val="FFFFFF"/>
                <w:sz w:val="40"/>
                <w:szCs w:val="40"/>
              </w:rPr>
              <w:t> </w:t>
            </w:r>
          </w:p>
        </w:tc>
      </w:tr>
      <w:tr w:rsidR="00474163" w:rsidRPr="000A5547" w:rsidTr="000A5547">
        <w:trPr>
          <w:trHeight w:val="259"/>
        </w:trPr>
        <w:tc>
          <w:tcPr>
            <w:tcW w:w="4515" w:type="dxa"/>
            <w:vMerge/>
            <w:tcBorders>
              <w:top w:val="single" w:sz="8" w:space="0" w:color="auto"/>
              <w:left w:val="single" w:sz="8" w:space="0" w:color="auto"/>
              <w:bottom w:val="single" w:sz="8" w:space="0" w:color="000000"/>
              <w:right w:val="single" w:sz="8" w:space="0" w:color="000000"/>
            </w:tcBorders>
            <w:vAlign w:val="center"/>
            <w:hideMark/>
          </w:tcPr>
          <w:p w:rsidR="00474163" w:rsidRPr="000A5547" w:rsidRDefault="00474163" w:rsidP="000A5547">
            <w:pPr>
              <w:spacing w:after="0" w:line="240" w:lineRule="auto"/>
              <w:rPr>
                <w:rFonts w:ascii="Calibri" w:eastAsia="Times New Roman" w:hAnsi="Calibri" w:cs="Arial"/>
                <w:b/>
                <w:bCs/>
                <w:sz w:val="20"/>
                <w:szCs w:val="20"/>
              </w:rPr>
            </w:pPr>
          </w:p>
        </w:tc>
        <w:tc>
          <w:tcPr>
            <w:tcW w:w="810" w:type="dxa"/>
            <w:tcBorders>
              <w:top w:val="nil"/>
              <w:left w:val="nil"/>
              <w:bottom w:val="single" w:sz="8" w:space="0" w:color="auto"/>
              <w:right w:val="single" w:sz="4" w:space="0" w:color="auto"/>
            </w:tcBorders>
            <w:shd w:val="clear" w:color="000000" w:fill="C5D9F1"/>
            <w:vAlign w:val="center"/>
            <w:hideMark/>
          </w:tcPr>
          <w:p w:rsidR="00474163" w:rsidRPr="000A5547" w:rsidRDefault="00474163" w:rsidP="000A5547">
            <w:pPr>
              <w:spacing w:after="0" w:line="240" w:lineRule="auto"/>
              <w:rPr>
                <w:rFonts w:ascii="Calibri" w:eastAsia="Times New Roman" w:hAnsi="Calibri" w:cs="Arial"/>
                <w:b/>
                <w:bCs/>
                <w:color w:val="000000"/>
                <w:sz w:val="21"/>
                <w:szCs w:val="21"/>
              </w:rPr>
            </w:pPr>
            <w:r w:rsidRPr="000A5547">
              <w:rPr>
                <w:rFonts w:ascii="Calibri" w:eastAsia="Times New Roman" w:hAnsi="Calibri" w:cs="Arial"/>
                <w:b/>
                <w:bCs/>
                <w:color w:val="000000"/>
                <w:sz w:val="21"/>
                <w:szCs w:val="21"/>
              </w:rPr>
              <w:t>Actual</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720" w:type="dxa"/>
            <w:tcBorders>
              <w:top w:val="nil"/>
              <w:left w:val="nil"/>
              <w:bottom w:val="single" w:sz="8" w:space="0" w:color="auto"/>
              <w:right w:val="single" w:sz="4" w:space="0" w:color="auto"/>
            </w:tcBorders>
            <w:shd w:val="clear" w:color="000000" w:fill="C5D9F1"/>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Pr="000A5547" w:rsidRDefault="00474163" w:rsidP="000A5547">
            <w:pPr>
              <w:spacing w:after="0" w:line="240" w:lineRule="auto"/>
              <w:jc w:val="center"/>
              <w:rPr>
                <w:rFonts w:ascii="Calibri" w:eastAsia="Times New Roman" w:hAnsi="Calibri" w:cs="Arial"/>
                <w:color w:val="000000"/>
                <w:sz w:val="21"/>
                <w:szCs w:val="21"/>
              </w:rPr>
            </w:pPr>
            <w:r w:rsidRPr="000A5547">
              <w:rPr>
                <w:rFonts w:ascii="Calibri" w:eastAsia="Times New Roman" w:hAnsi="Calibri" w:cs="Arial"/>
                <w:color w:val="000000"/>
                <w:sz w:val="21"/>
                <w:szCs w:val="21"/>
              </w:rPr>
              <w:t>100%</w:t>
            </w:r>
          </w:p>
        </w:tc>
        <w:tc>
          <w:tcPr>
            <w:tcW w:w="810" w:type="dxa"/>
            <w:tcBorders>
              <w:top w:val="nil"/>
              <w:left w:val="nil"/>
              <w:bottom w:val="single" w:sz="8" w:space="0" w:color="auto"/>
              <w:right w:val="single" w:sz="4" w:space="0" w:color="auto"/>
            </w:tcBorders>
            <w:shd w:val="clear" w:color="000000" w:fill="C5D9F1"/>
            <w:noWrap/>
            <w:vAlign w:val="center"/>
            <w:hideMark/>
          </w:tcPr>
          <w:p w:rsidR="00474163" w:rsidRPr="000A5547" w:rsidRDefault="00474163" w:rsidP="000A5547">
            <w:pPr>
              <w:spacing w:after="0" w:line="240" w:lineRule="auto"/>
              <w:jc w:val="center"/>
              <w:rPr>
                <w:rFonts w:ascii="Calibri" w:eastAsia="Times New Roman" w:hAnsi="Calibri" w:cs="Arial"/>
                <w:sz w:val="21"/>
                <w:szCs w:val="21"/>
              </w:rPr>
            </w:pPr>
            <w:r w:rsidRPr="000A5547">
              <w:rPr>
                <w:rFonts w:ascii="Calibri" w:eastAsia="Times New Roman" w:hAnsi="Calibri" w:cs="Arial"/>
                <w:sz w:val="21"/>
                <w:szCs w:val="21"/>
              </w:rPr>
              <w:t>100%</w:t>
            </w:r>
          </w:p>
        </w:tc>
        <w:tc>
          <w:tcPr>
            <w:tcW w:w="885" w:type="dxa"/>
            <w:tcBorders>
              <w:top w:val="nil"/>
              <w:left w:val="nil"/>
              <w:bottom w:val="single" w:sz="8" w:space="0" w:color="auto"/>
              <w:right w:val="nil"/>
            </w:tcBorders>
            <w:shd w:val="clear" w:color="000000" w:fill="C5D9F1"/>
            <w:noWrap/>
            <w:vAlign w:val="center"/>
            <w:hideMark/>
          </w:tcPr>
          <w:p w:rsidR="00474163" w:rsidRPr="000A5547" w:rsidRDefault="00474163" w:rsidP="000A5547">
            <w:pPr>
              <w:spacing w:after="0" w:line="240" w:lineRule="auto"/>
              <w:jc w:val="center"/>
              <w:rPr>
                <w:rFonts w:ascii="Calibri" w:eastAsia="Times New Roman" w:hAnsi="Calibri" w:cs="Arial"/>
                <w:sz w:val="21"/>
                <w:szCs w:val="21"/>
              </w:rPr>
            </w:pPr>
            <w:r w:rsidRPr="000A5547">
              <w:rPr>
                <w:rFonts w:ascii="Calibri" w:eastAsia="Times New Roman" w:hAnsi="Calibri" w:cs="Arial"/>
                <w:sz w:val="21"/>
                <w:szCs w:val="21"/>
              </w:rPr>
              <w:t>100%</w:t>
            </w:r>
          </w:p>
        </w:tc>
        <w:tc>
          <w:tcPr>
            <w:tcW w:w="960" w:type="dxa"/>
            <w:vMerge/>
            <w:tcBorders>
              <w:top w:val="nil"/>
              <w:left w:val="single" w:sz="8" w:space="0" w:color="auto"/>
              <w:bottom w:val="single" w:sz="8" w:space="0" w:color="000000"/>
              <w:right w:val="single" w:sz="8" w:space="0" w:color="auto"/>
            </w:tcBorders>
            <w:vAlign w:val="center"/>
            <w:hideMark/>
          </w:tcPr>
          <w:p w:rsidR="00474163" w:rsidRPr="000A5547" w:rsidRDefault="00474163" w:rsidP="000A5547">
            <w:pPr>
              <w:spacing w:after="0" w:line="240" w:lineRule="auto"/>
              <w:rPr>
                <w:rFonts w:ascii="Calibri" w:eastAsia="Times New Roman" w:hAnsi="Calibri" w:cs="Arial"/>
                <w:b/>
                <w:bCs/>
                <w:color w:val="FFFFFF"/>
                <w:sz w:val="40"/>
                <w:szCs w:val="40"/>
              </w:rPr>
            </w:pPr>
          </w:p>
        </w:tc>
      </w:tr>
    </w:tbl>
    <w:p w:rsidR="000A5547" w:rsidRDefault="000A5547" w:rsidP="00FE70B2">
      <w:pPr>
        <w:spacing w:after="0" w:line="239" w:lineRule="auto"/>
        <w:ind w:right="264"/>
        <w:rPr>
          <w:rFonts w:ascii="Arial" w:eastAsia="Calibri" w:hAnsi="Arial" w:cs="Arial"/>
          <w:color w:val="FF0000"/>
        </w:rPr>
      </w:pPr>
    </w:p>
    <w:p w:rsidR="000A5547" w:rsidRDefault="000A5547" w:rsidP="00FE70B2">
      <w:pPr>
        <w:spacing w:after="0" w:line="239" w:lineRule="auto"/>
        <w:ind w:right="264"/>
        <w:rPr>
          <w:rFonts w:ascii="Arial" w:eastAsia="Calibri" w:hAnsi="Arial" w:cs="Arial"/>
          <w:color w:val="FF0000"/>
        </w:rPr>
      </w:pPr>
    </w:p>
    <w:p w:rsidR="000A5547" w:rsidRDefault="000A5547" w:rsidP="00FE70B2">
      <w:pPr>
        <w:spacing w:after="0" w:line="239" w:lineRule="auto"/>
        <w:ind w:right="264"/>
        <w:rPr>
          <w:rFonts w:ascii="Arial" w:eastAsia="Calibri" w:hAnsi="Arial" w:cs="Arial"/>
          <w:color w:val="FF0000"/>
        </w:rPr>
      </w:pPr>
    </w:p>
    <w:p w:rsidR="000A5547" w:rsidRDefault="000A5547" w:rsidP="00FE70B2">
      <w:pPr>
        <w:spacing w:after="0" w:line="239" w:lineRule="auto"/>
        <w:ind w:right="264"/>
        <w:rPr>
          <w:rFonts w:ascii="Arial" w:eastAsia="Calibri" w:hAnsi="Arial" w:cs="Arial"/>
          <w:color w:val="FF0000"/>
        </w:rPr>
      </w:pPr>
    </w:p>
    <w:p w:rsidR="003C23A9" w:rsidRPr="00C44495" w:rsidRDefault="008036EE" w:rsidP="008036EE">
      <w:pPr>
        <w:pStyle w:val="Title"/>
        <w:rPr>
          <w:rFonts w:ascii="Arial" w:hAnsi="Arial" w:cs="Arial"/>
          <w:color w:val="auto"/>
          <w:sz w:val="28"/>
          <w:szCs w:val="28"/>
        </w:rPr>
      </w:pPr>
      <w:r w:rsidRPr="00C44495">
        <w:rPr>
          <w:rFonts w:ascii="Arial" w:hAnsi="Arial" w:cs="Arial"/>
          <w:color w:val="auto"/>
          <w:sz w:val="28"/>
          <w:szCs w:val="28"/>
        </w:rPr>
        <w:lastRenderedPageBreak/>
        <w:t>Analysis of Measures</w:t>
      </w:r>
    </w:p>
    <w:p w:rsidR="00F408B1" w:rsidRPr="00C74605" w:rsidRDefault="00F408B1" w:rsidP="00F408B1">
      <w:pPr>
        <w:spacing w:after="0" w:line="240" w:lineRule="auto"/>
        <w:ind w:right="-20"/>
        <w:rPr>
          <w:rFonts w:ascii="Arial" w:eastAsia="Times New Roman" w:hAnsi="Arial" w:cs="Arial"/>
          <w:b/>
          <w:bCs/>
        </w:rPr>
      </w:pPr>
      <w:r w:rsidRPr="00C74605">
        <w:rPr>
          <w:rFonts w:ascii="Arial" w:eastAsia="Calibri" w:hAnsi="Arial" w:cs="Arial"/>
          <w:b/>
          <w:bCs/>
          <w:spacing w:val="1"/>
        </w:rPr>
        <w:t>1</w:t>
      </w:r>
      <w:r w:rsidRPr="00C74605">
        <w:rPr>
          <w:rFonts w:ascii="Arial" w:eastAsia="Calibri" w:hAnsi="Arial" w:cs="Arial"/>
          <w:b/>
          <w:bCs/>
          <w:spacing w:val="-1"/>
        </w:rPr>
        <w:t>.1</w:t>
      </w:r>
      <w:r w:rsidRPr="00C74605">
        <w:rPr>
          <w:rFonts w:ascii="Arial" w:eastAsia="Calibri" w:hAnsi="Arial" w:cs="Arial"/>
          <w:b/>
          <w:bCs/>
        </w:rPr>
        <w:t>:</w:t>
      </w:r>
      <w:r w:rsidRPr="00C74605">
        <w:rPr>
          <w:rFonts w:ascii="Arial" w:eastAsia="Calibri" w:hAnsi="Arial" w:cs="Arial"/>
          <w:b/>
          <w:bCs/>
          <w:spacing w:val="-1"/>
        </w:rPr>
        <w:t xml:space="preserve"> </w:t>
      </w:r>
      <w:r w:rsidR="00532946" w:rsidRPr="00C74605">
        <w:rPr>
          <w:rFonts w:ascii="Arial" w:eastAsia="Calibri" w:hAnsi="Arial" w:cs="Arial"/>
          <w:b/>
          <w:bCs/>
          <w:spacing w:val="-1"/>
        </w:rPr>
        <w:t>%</w:t>
      </w:r>
      <w:r w:rsidRPr="00C74605">
        <w:rPr>
          <w:rFonts w:ascii="Arial" w:eastAsia="Times New Roman" w:hAnsi="Arial" w:cs="Arial"/>
          <w:b/>
          <w:bCs/>
        </w:rPr>
        <w:t xml:space="preserve"> </w:t>
      </w:r>
      <w:r w:rsidR="00532946" w:rsidRPr="00C74605">
        <w:rPr>
          <w:rFonts w:ascii="Arial" w:eastAsia="Times New Roman" w:hAnsi="Arial" w:cs="Arial"/>
          <w:b/>
          <w:bCs/>
        </w:rPr>
        <w:t>of food establishment inspections conducted by fiscal year</w:t>
      </w:r>
    </w:p>
    <w:p w:rsidR="002A42C6" w:rsidRPr="00C74605" w:rsidRDefault="00C978D9" w:rsidP="00F408B1">
      <w:pPr>
        <w:spacing w:after="0" w:line="240" w:lineRule="auto"/>
        <w:ind w:right="-20"/>
        <w:rPr>
          <w:rFonts w:ascii="Arial" w:eastAsia="Calibri" w:hAnsi="Arial" w:cs="Arial"/>
          <w:bCs/>
          <w:spacing w:val="-1"/>
        </w:rPr>
      </w:pPr>
      <w:r w:rsidRPr="00C74605">
        <w:rPr>
          <w:rFonts w:ascii="Arial" w:eastAsia="Calibri" w:hAnsi="Arial" w:cs="Arial"/>
          <w:bCs/>
          <w:spacing w:val="-1"/>
        </w:rPr>
        <w:t>1,6</w:t>
      </w:r>
      <w:r w:rsidR="001F15C5" w:rsidRPr="00C74605">
        <w:rPr>
          <w:rFonts w:ascii="Arial" w:eastAsia="Calibri" w:hAnsi="Arial" w:cs="Arial"/>
          <w:bCs/>
          <w:spacing w:val="-1"/>
        </w:rPr>
        <w:t>01</w:t>
      </w:r>
      <w:r w:rsidRPr="00C74605">
        <w:rPr>
          <w:rFonts w:ascii="Arial" w:eastAsia="Calibri" w:hAnsi="Arial" w:cs="Arial"/>
          <w:bCs/>
          <w:spacing w:val="-1"/>
        </w:rPr>
        <w:t xml:space="preserve"> establishment inspections were conducted between July 201</w:t>
      </w:r>
      <w:r w:rsidR="001F15C5" w:rsidRPr="00C74605">
        <w:rPr>
          <w:rFonts w:ascii="Arial" w:eastAsia="Calibri" w:hAnsi="Arial" w:cs="Arial"/>
          <w:bCs/>
          <w:spacing w:val="-1"/>
        </w:rPr>
        <w:t>6</w:t>
      </w:r>
      <w:r w:rsidRPr="00C74605">
        <w:rPr>
          <w:rFonts w:ascii="Arial" w:eastAsia="Calibri" w:hAnsi="Arial" w:cs="Arial"/>
          <w:bCs/>
          <w:spacing w:val="-1"/>
        </w:rPr>
        <w:t xml:space="preserve"> and June 201</w:t>
      </w:r>
      <w:r w:rsidR="001F15C5" w:rsidRPr="00C74605">
        <w:rPr>
          <w:rFonts w:ascii="Arial" w:eastAsia="Calibri" w:hAnsi="Arial" w:cs="Arial"/>
          <w:bCs/>
          <w:spacing w:val="-1"/>
        </w:rPr>
        <w:t>7</w:t>
      </w:r>
      <w:r w:rsidRPr="00C74605">
        <w:rPr>
          <w:rFonts w:ascii="Arial" w:eastAsia="Calibri" w:hAnsi="Arial" w:cs="Arial"/>
          <w:bCs/>
          <w:spacing w:val="-1"/>
        </w:rPr>
        <w:t>. The target for scheduled inspections was 1,7</w:t>
      </w:r>
      <w:r w:rsidR="001F15C5" w:rsidRPr="00C74605">
        <w:rPr>
          <w:rFonts w:ascii="Arial" w:eastAsia="Calibri" w:hAnsi="Arial" w:cs="Arial"/>
          <w:bCs/>
          <w:spacing w:val="-1"/>
        </w:rPr>
        <w:t>85</w:t>
      </w:r>
      <w:r w:rsidRPr="00C74605">
        <w:rPr>
          <w:rFonts w:ascii="Arial" w:eastAsia="Calibri" w:hAnsi="Arial" w:cs="Arial"/>
          <w:bCs/>
          <w:spacing w:val="-1"/>
        </w:rPr>
        <w:t xml:space="preserve">. This was a </w:t>
      </w:r>
      <w:r w:rsidR="001F15C5" w:rsidRPr="00C74605">
        <w:rPr>
          <w:rFonts w:ascii="Arial" w:eastAsia="Calibri" w:hAnsi="Arial" w:cs="Arial"/>
          <w:bCs/>
          <w:spacing w:val="-1"/>
        </w:rPr>
        <w:t>de</w:t>
      </w:r>
      <w:r w:rsidRPr="00C74605">
        <w:rPr>
          <w:rFonts w:ascii="Arial" w:eastAsia="Calibri" w:hAnsi="Arial" w:cs="Arial"/>
          <w:bCs/>
          <w:spacing w:val="-1"/>
        </w:rPr>
        <w:t xml:space="preserve">crease of </w:t>
      </w:r>
      <w:r w:rsidR="001F15C5" w:rsidRPr="00C74605">
        <w:rPr>
          <w:rFonts w:ascii="Arial" w:eastAsia="Calibri" w:hAnsi="Arial" w:cs="Arial"/>
          <w:bCs/>
          <w:spacing w:val="-1"/>
        </w:rPr>
        <w:t>4</w:t>
      </w:r>
      <w:r w:rsidRPr="00C74605">
        <w:rPr>
          <w:rFonts w:ascii="Arial" w:eastAsia="Calibri" w:hAnsi="Arial" w:cs="Arial"/>
          <w:bCs/>
          <w:spacing w:val="-1"/>
        </w:rPr>
        <w:t>% over the previous year. Time off requests peaked during the summer months making it difficult to meet the mandate.</w:t>
      </w:r>
    </w:p>
    <w:p w:rsidR="00F408B1" w:rsidRPr="00C74605" w:rsidRDefault="00F408B1" w:rsidP="00F408B1">
      <w:pPr>
        <w:spacing w:after="0" w:line="240" w:lineRule="auto"/>
        <w:ind w:left="100" w:right="-20"/>
        <w:rPr>
          <w:rFonts w:ascii="Arial" w:eastAsia="Calibri" w:hAnsi="Arial" w:cs="Arial"/>
          <w:highlight w:val="yellow"/>
        </w:rPr>
      </w:pPr>
    </w:p>
    <w:p w:rsidR="00F408B1" w:rsidRPr="00C74605" w:rsidRDefault="003E0B2B" w:rsidP="00F408B1">
      <w:pPr>
        <w:spacing w:after="0" w:line="240" w:lineRule="auto"/>
        <w:ind w:right="-20"/>
        <w:rPr>
          <w:rFonts w:ascii="Arial" w:eastAsia="Calibri" w:hAnsi="Arial" w:cs="Arial"/>
          <w:b/>
          <w:bCs/>
        </w:rPr>
      </w:pPr>
      <w:r w:rsidRPr="00C74605">
        <w:rPr>
          <w:rFonts w:ascii="Arial" w:eastAsia="Calibri" w:hAnsi="Arial" w:cs="Arial"/>
          <w:b/>
          <w:bCs/>
        </w:rPr>
        <w:t>1</w:t>
      </w:r>
      <w:r w:rsidR="00F408B1" w:rsidRPr="00C74605">
        <w:rPr>
          <w:rFonts w:ascii="Arial" w:eastAsia="Calibri" w:hAnsi="Arial" w:cs="Arial"/>
          <w:b/>
          <w:bCs/>
        </w:rPr>
        <w:t>.</w:t>
      </w:r>
      <w:r w:rsidRPr="00C74605">
        <w:rPr>
          <w:rFonts w:ascii="Arial" w:eastAsia="Calibri" w:hAnsi="Arial" w:cs="Arial"/>
          <w:b/>
          <w:bCs/>
        </w:rPr>
        <w:t>2</w:t>
      </w:r>
      <w:r w:rsidR="00F408B1" w:rsidRPr="00C74605">
        <w:rPr>
          <w:rFonts w:ascii="Arial" w:eastAsia="Calibri" w:hAnsi="Arial" w:cs="Arial"/>
          <w:b/>
          <w:bCs/>
        </w:rPr>
        <w:t>:</w:t>
      </w:r>
      <w:r w:rsidR="00F408B1" w:rsidRPr="00C74605">
        <w:rPr>
          <w:rFonts w:ascii="Arial" w:eastAsia="Calibri" w:hAnsi="Arial" w:cs="Arial"/>
          <w:b/>
          <w:bCs/>
          <w:spacing w:val="-1"/>
        </w:rPr>
        <w:t xml:space="preserve"> </w:t>
      </w:r>
      <w:r w:rsidRPr="00C74605">
        <w:rPr>
          <w:rFonts w:ascii="Arial" w:eastAsia="Calibri" w:hAnsi="Arial" w:cs="Arial"/>
          <w:b/>
          <w:bCs/>
          <w:spacing w:val="-1"/>
        </w:rPr>
        <w:t>% of housing inspections conducted by fiscal year-to-date and annually</w:t>
      </w:r>
    </w:p>
    <w:p w:rsidR="00F408B1" w:rsidRPr="00C74605" w:rsidRDefault="00C978D9" w:rsidP="00F408B1">
      <w:pPr>
        <w:spacing w:after="0" w:line="240" w:lineRule="auto"/>
        <w:ind w:right="-20"/>
        <w:rPr>
          <w:rFonts w:ascii="Arial" w:eastAsia="Calibri" w:hAnsi="Arial" w:cs="Arial"/>
          <w:bCs/>
        </w:rPr>
      </w:pPr>
      <w:r w:rsidRPr="00C74605">
        <w:rPr>
          <w:rFonts w:ascii="Arial" w:eastAsia="Calibri" w:hAnsi="Arial" w:cs="Arial"/>
          <w:bCs/>
        </w:rPr>
        <w:t>The target number of inspections for this performance measure is 900. The Housing Inspectors conducted 1,</w:t>
      </w:r>
      <w:r w:rsidR="001F15C5" w:rsidRPr="00C74605">
        <w:rPr>
          <w:rFonts w:ascii="Arial" w:eastAsia="Calibri" w:hAnsi="Arial" w:cs="Arial"/>
          <w:bCs/>
        </w:rPr>
        <w:t>388</w:t>
      </w:r>
      <w:r w:rsidRPr="00C74605">
        <w:rPr>
          <w:rFonts w:ascii="Arial" w:eastAsia="Calibri" w:hAnsi="Arial" w:cs="Arial"/>
          <w:bCs/>
        </w:rPr>
        <w:t xml:space="preserve"> inspections, measuring 1</w:t>
      </w:r>
      <w:r w:rsidR="001F15C5" w:rsidRPr="00C74605">
        <w:rPr>
          <w:rFonts w:ascii="Arial" w:eastAsia="Calibri" w:hAnsi="Arial" w:cs="Arial"/>
          <w:bCs/>
        </w:rPr>
        <w:t>54</w:t>
      </w:r>
      <w:r w:rsidRPr="00C74605">
        <w:rPr>
          <w:rFonts w:ascii="Arial" w:eastAsia="Calibri" w:hAnsi="Arial" w:cs="Arial"/>
          <w:bCs/>
        </w:rPr>
        <w:t xml:space="preserve">% of </w:t>
      </w:r>
      <w:r w:rsidR="00745BE4" w:rsidRPr="00C74605">
        <w:rPr>
          <w:rFonts w:ascii="Arial" w:eastAsia="Calibri" w:hAnsi="Arial" w:cs="Arial"/>
          <w:bCs/>
        </w:rPr>
        <w:t xml:space="preserve">the </w:t>
      </w:r>
      <w:r w:rsidRPr="00C74605">
        <w:rPr>
          <w:rFonts w:ascii="Arial" w:eastAsia="Calibri" w:hAnsi="Arial" w:cs="Arial"/>
          <w:bCs/>
        </w:rPr>
        <w:t xml:space="preserve">target. This was due to the influx of new housing units in town that requires certificate inspections upon a vacancy. </w:t>
      </w:r>
    </w:p>
    <w:p w:rsidR="00F408B1" w:rsidRPr="00C74605" w:rsidRDefault="00F408B1" w:rsidP="00F408B1">
      <w:pPr>
        <w:spacing w:after="0" w:line="240" w:lineRule="auto"/>
        <w:ind w:left="100" w:right="-20"/>
        <w:rPr>
          <w:rFonts w:ascii="Arial" w:eastAsia="Calibri" w:hAnsi="Arial" w:cs="Arial"/>
          <w:b/>
          <w:bCs/>
          <w:spacing w:val="1"/>
        </w:rPr>
      </w:pPr>
    </w:p>
    <w:p w:rsidR="00F408B1" w:rsidRPr="00C74605" w:rsidRDefault="00A44C8A" w:rsidP="00F408B1">
      <w:pPr>
        <w:spacing w:after="0" w:line="240" w:lineRule="auto"/>
        <w:ind w:right="-20"/>
        <w:rPr>
          <w:rFonts w:ascii="Arial" w:eastAsia="Calibri" w:hAnsi="Arial" w:cs="Arial"/>
        </w:rPr>
      </w:pPr>
      <w:r w:rsidRPr="00C74605">
        <w:rPr>
          <w:rFonts w:ascii="Arial" w:eastAsia="Calibri" w:hAnsi="Arial" w:cs="Arial"/>
          <w:b/>
          <w:bCs/>
          <w:spacing w:val="1"/>
        </w:rPr>
        <w:t>1</w:t>
      </w:r>
      <w:r w:rsidR="00F408B1" w:rsidRPr="00C74605">
        <w:rPr>
          <w:rFonts w:ascii="Arial" w:eastAsia="Calibri" w:hAnsi="Arial" w:cs="Arial"/>
          <w:b/>
          <w:bCs/>
          <w:spacing w:val="-1"/>
        </w:rPr>
        <w:t>.</w:t>
      </w:r>
      <w:r w:rsidRPr="00C74605">
        <w:rPr>
          <w:rFonts w:ascii="Arial" w:eastAsia="Calibri" w:hAnsi="Arial" w:cs="Arial"/>
          <w:b/>
          <w:bCs/>
          <w:spacing w:val="-1"/>
        </w:rPr>
        <w:t>3</w:t>
      </w:r>
      <w:r w:rsidR="00F408B1" w:rsidRPr="00C74605">
        <w:rPr>
          <w:rFonts w:ascii="Arial" w:eastAsia="Calibri" w:hAnsi="Arial" w:cs="Arial"/>
          <w:b/>
          <w:bCs/>
        </w:rPr>
        <w:t>:</w:t>
      </w:r>
      <w:r w:rsidR="00F408B1" w:rsidRPr="00C74605">
        <w:rPr>
          <w:rFonts w:ascii="Arial" w:eastAsia="Calibri" w:hAnsi="Arial" w:cs="Arial"/>
          <w:b/>
          <w:bCs/>
          <w:spacing w:val="-1"/>
        </w:rPr>
        <w:t xml:space="preserve"> </w:t>
      </w:r>
      <w:r w:rsidRPr="00C74605">
        <w:rPr>
          <w:rFonts w:ascii="Arial" w:eastAsia="Calibri" w:hAnsi="Arial" w:cs="Arial"/>
          <w:b/>
          <w:bCs/>
          <w:spacing w:val="-1"/>
        </w:rPr>
        <w:t>% of pool inspections conducted by fiscal year-to-date and annually</w:t>
      </w:r>
    </w:p>
    <w:p w:rsidR="00F408B1" w:rsidRPr="00C74605" w:rsidRDefault="00D875C6" w:rsidP="00F408B1">
      <w:pPr>
        <w:spacing w:before="9" w:after="0" w:line="260" w:lineRule="exact"/>
        <w:rPr>
          <w:rFonts w:ascii="Arial" w:hAnsi="Arial" w:cs="Arial"/>
        </w:rPr>
      </w:pPr>
      <w:r w:rsidRPr="00C74605">
        <w:rPr>
          <w:rFonts w:ascii="Arial" w:hAnsi="Arial" w:cs="Arial"/>
        </w:rPr>
        <w:t>There are seven indoor pools in Norwalk requiring quarterly inspections (28) and thirty-</w:t>
      </w:r>
      <w:r w:rsidR="001F15C5" w:rsidRPr="00C74605">
        <w:rPr>
          <w:rFonts w:ascii="Arial" w:hAnsi="Arial" w:cs="Arial"/>
        </w:rPr>
        <w:t>nine</w:t>
      </w:r>
      <w:r w:rsidRPr="00C74605">
        <w:rPr>
          <w:rFonts w:ascii="Arial" w:hAnsi="Arial" w:cs="Arial"/>
        </w:rPr>
        <w:t xml:space="preserve"> seasonal pools requiring an annual inspection (3</w:t>
      </w:r>
      <w:r w:rsidR="001F15C5" w:rsidRPr="00C74605">
        <w:rPr>
          <w:rFonts w:ascii="Arial" w:hAnsi="Arial" w:cs="Arial"/>
        </w:rPr>
        <w:t>9</w:t>
      </w:r>
      <w:r w:rsidRPr="00C74605">
        <w:rPr>
          <w:rFonts w:ascii="Arial" w:hAnsi="Arial" w:cs="Arial"/>
        </w:rPr>
        <w:t xml:space="preserve">). The target for this performance measure is 100% and that was accomplished by conducting </w:t>
      </w:r>
      <w:r w:rsidR="001F15C5" w:rsidRPr="00C74605">
        <w:rPr>
          <w:rFonts w:ascii="Arial" w:hAnsi="Arial" w:cs="Arial"/>
        </w:rPr>
        <w:t>87</w:t>
      </w:r>
      <w:r w:rsidRPr="00C74605">
        <w:rPr>
          <w:rFonts w:ascii="Arial" w:hAnsi="Arial" w:cs="Arial"/>
        </w:rPr>
        <w:t xml:space="preserve"> pool inspections (1</w:t>
      </w:r>
      <w:r w:rsidR="001F15C5" w:rsidRPr="00C74605">
        <w:rPr>
          <w:rFonts w:ascii="Arial" w:hAnsi="Arial" w:cs="Arial"/>
        </w:rPr>
        <w:t>2</w:t>
      </w:r>
      <w:r w:rsidRPr="00C74605">
        <w:rPr>
          <w:rFonts w:ascii="Arial" w:hAnsi="Arial" w:cs="Arial"/>
        </w:rPr>
        <w:t>9%). Staff go beyond the state mandate and aim to conduct more inspections for the seasonal pools, which is why they exceed the target.</w:t>
      </w:r>
    </w:p>
    <w:p w:rsidR="00D875C6" w:rsidRPr="00C74605" w:rsidRDefault="00D875C6" w:rsidP="00F408B1">
      <w:pPr>
        <w:spacing w:before="9" w:after="0" w:line="260" w:lineRule="exact"/>
        <w:rPr>
          <w:rFonts w:ascii="Arial" w:hAnsi="Arial" w:cs="Arial"/>
          <w:b/>
        </w:rPr>
      </w:pPr>
    </w:p>
    <w:p w:rsidR="00F408B1" w:rsidRPr="00C74605" w:rsidRDefault="00484429" w:rsidP="00F408B1">
      <w:pPr>
        <w:spacing w:after="0" w:line="239" w:lineRule="auto"/>
        <w:ind w:right="52"/>
        <w:rPr>
          <w:rFonts w:ascii="Arial" w:eastAsia="Calibri" w:hAnsi="Arial" w:cs="Arial"/>
          <w:spacing w:val="-1"/>
        </w:rPr>
      </w:pPr>
      <w:r w:rsidRPr="00C74605">
        <w:rPr>
          <w:rFonts w:ascii="Arial" w:eastAsia="Times New Roman" w:hAnsi="Arial" w:cs="Arial"/>
          <w:b/>
          <w:bCs/>
        </w:rPr>
        <w:t>1</w:t>
      </w:r>
      <w:r w:rsidR="00F408B1" w:rsidRPr="00C74605">
        <w:rPr>
          <w:rFonts w:ascii="Arial" w:eastAsia="Times New Roman" w:hAnsi="Arial" w:cs="Arial"/>
          <w:b/>
          <w:bCs/>
        </w:rPr>
        <w:t>.</w:t>
      </w:r>
      <w:r w:rsidRPr="00C74605">
        <w:rPr>
          <w:rFonts w:ascii="Arial" w:eastAsia="Times New Roman" w:hAnsi="Arial" w:cs="Arial"/>
          <w:b/>
          <w:bCs/>
        </w:rPr>
        <w:t>4</w:t>
      </w:r>
      <w:r w:rsidR="00F408B1" w:rsidRPr="00C74605">
        <w:rPr>
          <w:rFonts w:ascii="Arial" w:eastAsia="Times New Roman" w:hAnsi="Arial" w:cs="Arial"/>
          <w:b/>
          <w:bCs/>
        </w:rPr>
        <w:t xml:space="preserve"> </w:t>
      </w:r>
      <w:r w:rsidRPr="00C74605">
        <w:rPr>
          <w:rFonts w:ascii="Arial" w:eastAsia="Times New Roman" w:hAnsi="Arial" w:cs="Arial"/>
          <w:b/>
          <w:bCs/>
        </w:rPr>
        <w:t>% of salon inspections conducted by fiscal year-to-date and annually</w:t>
      </w:r>
      <w:r w:rsidR="00F408B1" w:rsidRPr="00C74605">
        <w:rPr>
          <w:rFonts w:ascii="Arial" w:eastAsia="Calibri" w:hAnsi="Arial" w:cs="Arial"/>
          <w:spacing w:val="-1"/>
        </w:rPr>
        <w:t xml:space="preserve"> </w:t>
      </w:r>
    </w:p>
    <w:p w:rsidR="00F408B1" w:rsidRPr="00C74605" w:rsidRDefault="00D875C6" w:rsidP="00E073D3">
      <w:pPr>
        <w:spacing w:after="0" w:line="239" w:lineRule="auto"/>
        <w:ind w:right="52"/>
        <w:rPr>
          <w:rFonts w:ascii="Arial" w:hAnsi="Arial" w:cs="Arial"/>
        </w:rPr>
      </w:pPr>
      <w:r w:rsidRPr="00C74605">
        <w:rPr>
          <w:rFonts w:ascii="Arial" w:hAnsi="Arial" w:cs="Arial"/>
        </w:rPr>
        <w:t>10</w:t>
      </w:r>
      <w:r w:rsidR="001F15C5" w:rsidRPr="00C74605">
        <w:rPr>
          <w:rFonts w:ascii="Arial" w:hAnsi="Arial" w:cs="Arial"/>
        </w:rPr>
        <w:t>0</w:t>
      </w:r>
      <w:r w:rsidRPr="00C74605">
        <w:rPr>
          <w:rFonts w:ascii="Arial" w:hAnsi="Arial" w:cs="Arial"/>
        </w:rPr>
        <w:t>% of salon inspections were conducted within this fiscal year. There are 1</w:t>
      </w:r>
      <w:r w:rsidR="001F15C5" w:rsidRPr="00C74605">
        <w:rPr>
          <w:rFonts w:ascii="Arial" w:hAnsi="Arial" w:cs="Arial"/>
        </w:rPr>
        <w:t>15</w:t>
      </w:r>
      <w:r w:rsidRPr="00C74605">
        <w:rPr>
          <w:rFonts w:ascii="Arial" w:hAnsi="Arial" w:cs="Arial"/>
        </w:rPr>
        <w:t xml:space="preserve"> total beauty salons (</w:t>
      </w:r>
      <w:r w:rsidR="001F15C5" w:rsidRPr="00C74605">
        <w:rPr>
          <w:rFonts w:ascii="Arial" w:hAnsi="Arial" w:cs="Arial"/>
        </w:rPr>
        <w:t>73</w:t>
      </w:r>
      <w:r w:rsidRPr="00C74605">
        <w:rPr>
          <w:rFonts w:ascii="Arial" w:hAnsi="Arial" w:cs="Arial"/>
        </w:rPr>
        <w:t xml:space="preserve"> requiring one inspection and 42 requiring two inspections because they offer pedicures). A total of 15</w:t>
      </w:r>
      <w:r w:rsidR="001F15C5" w:rsidRPr="00C74605">
        <w:rPr>
          <w:rFonts w:ascii="Arial" w:hAnsi="Arial" w:cs="Arial"/>
        </w:rPr>
        <w:t>7</w:t>
      </w:r>
      <w:r w:rsidRPr="00C74605">
        <w:rPr>
          <w:rFonts w:ascii="Arial" w:hAnsi="Arial" w:cs="Arial"/>
        </w:rPr>
        <w:t xml:space="preserve"> salon inspections were conducted, meet</w:t>
      </w:r>
      <w:r w:rsidR="001F15C5" w:rsidRPr="00C74605">
        <w:rPr>
          <w:rFonts w:ascii="Arial" w:hAnsi="Arial" w:cs="Arial"/>
        </w:rPr>
        <w:t>ing</w:t>
      </w:r>
      <w:r w:rsidRPr="00C74605">
        <w:rPr>
          <w:rFonts w:ascii="Arial" w:hAnsi="Arial" w:cs="Arial"/>
        </w:rPr>
        <w:t xml:space="preserve"> the mandate.</w:t>
      </w:r>
    </w:p>
    <w:p w:rsidR="00BF5AA0" w:rsidRPr="00C74605" w:rsidRDefault="00BF5AA0" w:rsidP="00F408B1">
      <w:pPr>
        <w:spacing w:after="0" w:line="239" w:lineRule="auto"/>
        <w:ind w:left="100" w:right="52"/>
        <w:rPr>
          <w:rFonts w:ascii="Arial" w:eastAsia="Calibri" w:hAnsi="Arial" w:cs="Arial"/>
          <w:b/>
          <w:spacing w:val="-1"/>
        </w:rPr>
      </w:pPr>
    </w:p>
    <w:p w:rsidR="00F408B1" w:rsidRPr="00C74605" w:rsidRDefault="00D4101E" w:rsidP="00F408B1">
      <w:pPr>
        <w:spacing w:after="0" w:line="239" w:lineRule="auto"/>
        <w:ind w:right="52"/>
        <w:rPr>
          <w:rFonts w:ascii="Arial" w:eastAsia="Times New Roman" w:hAnsi="Arial" w:cs="Arial"/>
          <w:b/>
          <w:bCs/>
        </w:rPr>
      </w:pPr>
      <w:r w:rsidRPr="00C74605">
        <w:rPr>
          <w:rFonts w:ascii="Arial" w:eastAsia="Times New Roman" w:hAnsi="Arial" w:cs="Arial"/>
          <w:b/>
          <w:bCs/>
        </w:rPr>
        <w:t>1</w:t>
      </w:r>
      <w:r w:rsidR="00F408B1" w:rsidRPr="00C74605">
        <w:rPr>
          <w:rFonts w:ascii="Arial" w:eastAsia="Times New Roman" w:hAnsi="Arial" w:cs="Arial"/>
          <w:b/>
          <w:bCs/>
        </w:rPr>
        <w:t>.</w:t>
      </w:r>
      <w:r w:rsidRPr="00C74605">
        <w:rPr>
          <w:rFonts w:ascii="Arial" w:eastAsia="Times New Roman" w:hAnsi="Arial" w:cs="Arial"/>
          <w:b/>
          <w:bCs/>
        </w:rPr>
        <w:t>5</w:t>
      </w:r>
      <w:r w:rsidR="00F408B1" w:rsidRPr="00C74605">
        <w:rPr>
          <w:rFonts w:ascii="Arial" w:eastAsia="Times New Roman" w:hAnsi="Arial" w:cs="Arial"/>
          <w:b/>
          <w:bCs/>
        </w:rPr>
        <w:t xml:space="preserve"> </w:t>
      </w:r>
      <w:r w:rsidRPr="00C74605">
        <w:rPr>
          <w:rFonts w:ascii="Arial" w:eastAsia="Times New Roman" w:hAnsi="Arial" w:cs="Arial"/>
          <w:b/>
          <w:bCs/>
        </w:rPr>
        <w:t>% of tanning establishment inspections conducted fiscal year-to-date and annually</w:t>
      </w:r>
    </w:p>
    <w:p w:rsidR="00F408B1" w:rsidRPr="00C74605" w:rsidRDefault="00D4101E" w:rsidP="00F408B1">
      <w:pPr>
        <w:spacing w:after="0" w:line="239" w:lineRule="auto"/>
        <w:ind w:right="52"/>
        <w:rPr>
          <w:rFonts w:ascii="Arial" w:eastAsia="Calibri" w:hAnsi="Arial" w:cs="Arial"/>
          <w:b/>
          <w:spacing w:val="-1"/>
        </w:rPr>
      </w:pPr>
      <w:r w:rsidRPr="00C74605">
        <w:rPr>
          <w:rFonts w:ascii="Arial" w:eastAsia="Calibri" w:hAnsi="Arial" w:cs="Arial"/>
          <w:b/>
          <w:spacing w:val="-1"/>
        </w:rPr>
        <w:t>1.6 % of massage establishment inspections conducted fiscal year-to-date and annually</w:t>
      </w:r>
    </w:p>
    <w:p w:rsidR="006443B6" w:rsidRPr="00C74605" w:rsidRDefault="00BF5AA0" w:rsidP="00D4101E">
      <w:pPr>
        <w:spacing w:after="0" w:line="240" w:lineRule="auto"/>
        <w:rPr>
          <w:rFonts w:ascii="Arial" w:hAnsi="Arial" w:cs="Arial"/>
        </w:rPr>
      </w:pPr>
      <w:r w:rsidRPr="00C74605">
        <w:rPr>
          <w:rFonts w:ascii="Arial" w:hAnsi="Arial" w:cs="Arial"/>
        </w:rPr>
        <w:t>100% of tanning establishment inspections</w:t>
      </w:r>
      <w:r w:rsidR="004A5F88" w:rsidRPr="00C74605">
        <w:rPr>
          <w:rFonts w:ascii="Arial" w:hAnsi="Arial" w:cs="Arial"/>
        </w:rPr>
        <w:t>,</w:t>
      </w:r>
      <w:r w:rsidRPr="00C74605">
        <w:rPr>
          <w:rFonts w:ascii="Arial" w:hAnsi="Arial" w:cs="Arial"/>
        </w:rPr>
        <w:t xml:space="preserve"> and 100% of massage establishments were conducted. There are low numbers of these facilities, (tanning =</w:t>
      </w:r>
      <w:r w:rsidR="001F15C5" w:rsidRPr="00C74605">
        <w:rPr>
          <w:rFonts w:ascii="Arial" w:hAnsi="Arial" w:cs="Arial"/>
        </w:rPr>
        <w:t>6</w:t>
      </w:r>
      <w:r w:rsidRPr="00C74605">
        <w:rPr>
          <w:rFonts w:ascii="Arial" w:hAnsi="Arial" w:cs="Arial"/>
        </w:rPr>
        <w:t xml:space="preserve"> and massage = </w:t>
      </w:r>
      <w:r w:rsidR="001F15C5" w:rsidRPr="00C74605">
        <w:rPr>
          <w:rFonts w:ascii="Arial" w:hAnsi="Arial" w:cs="Arial"/>
        </w:rPr>
        <w:t>8</w:t>
      </w:r>
      <w:r w:rsidRPr="00C74605">
        <w:rPr>
          <w:rFonts w:ascii="Arial" w:hAnsi="Arial" w:cs="Arial"/>
        </w:rPr>
        <w:t xml:space="preserve">) within the City of Norwalk, so they are easy to complete and keep track of. There were </w:t>
      </w:r>
      <w:r w:rsidR="001F15C5" w:rsidRPr="00C74605">
        <w:rPr>
          <w:rFonts w:ascii="Arial" w:hAnsi="Arial" w:cs="Arial"/>
        </w:rPr>
        <w:t>eleven</w:t>
      </w:r>
      <w:r w:rsidRPr="00C74605">
        <w:rPr>
          <w:rFonts w:ascii="Arial" w:hAnsi="Arial" w:cs="Arial"/>
        </w:rPr>
        <w:t xml:space="preserve"> inspections conducted for the massage establishments because of violation concerns.</w:t>
      </w:r>
    </w:p>
    <w:p w:rsidR="00BF5AA0" w:rsidRPr="00C74605" w:rsidRDefault="00BF5AA0" w:rsidP="00D4101E">
      <w:pPr>
        <w:spacing w:after="0" w:line="240" w:lineRule="auto"/>
        <w:rPr>
          <w:rFonts w:ascii="Arial" w:hAnsi="Arial" w:cs="Arial"/>
          <w:b/>
        </w:rPr>
      </w:pPr>
    </w:p>
    <w:p w:rsidR="006443B6" w:rsidRPr="00C74605" w:rsidRDefault="006443B6" w:rsidP="00D4101E">
      <w:pPr>
        <w:spacing w:after="0" w:line="240" w:lineRule="auto"/>
        <w:rPr>
          <w:rFonts w:ascii="Arial" w:hAnsi="Arial" w:cs="Arial"/>
          <w:b/>
        </w:rPr>
      </w:pPr>
      <w:r w:rsidRPr="00C74605">
        <w:rPr>
          <w:rFonts w:ascii="Arial" w:hAnsi="Arial" w:cs="Arial"/>
          <w:b/>
        </w:rPr>
        <w:t xml:space="preserve">1.7 % of </w:t>
      </w:r>
      <w:r w:rsidR="005F12CF" w:rsidRPr="00C74605">
        <w:rPr>
          <w:rFonts w:ascii="Arial" w:hAnsi="Arial" w:cs="Arial"/>
          <w:b/>
        </w:rPr>
        <w:t>weights &amp; measures facility inspections conducted fiscal year-to-date and annually</w:t>
      </w:r>
    </w:p>
    <w:p w:rsidR="00180919" w:rsidRPr="00C74605" w:rsidRDefault="00BF5AA0" w:rsidP="00D4101E">
      <w:pPr>
        <w:spacing w:after="0" w:line="240" w:lineRule="auto"/>
        <w:rPr>
          <w:rFonts w:ascii="Arial" w:hAnsi="Arial" w:cs="Arial"/>
        </w:rPr>
      </w:pPr>
      <w:r w:rsidRPr="00C74605">
        <w:rPr>
          <w:rFonts w:ascii="Arial" w:hAnsi="Arial" w:cs="Arial"/>
        </w:rPr>
        <w:t xml:space="preserve">The state mandates that each facility is inspected once a year. There are 180 facilities in Norwalk that require weights and measures inspections. The department exceeded the goal by performing </w:t>
      </w:r>
      <w:r w:rsidR="001F15C5" w:rsidRPr="00C74605">
        <w:rPr>
          <w:rFonts w:ascii="Arial" w:hAnsi="Arial" w:cs="Arial"/>
        </w:rPr>
        <w:t>190</w:t>
      </w:r>
      <w:r w:rsidRPr="00C74605">
        <w:rPr>
          <w:rFonts w:ascii="Arial" w:hAnsi="Arial" w:cs="Arial"/>
        </w:rPr>
        <w:t xml:space="preserve"> inspections.</w:t>
      </w:r>
    </w:p>
    <w:p w:rsidR="00BF5AA0" w:rsidRPr="009D096B" w:rsidRDefault="00BF5AA0" w:rsidP="00D4101E">
      <w:pPr>
        <w:spacing w:after="0" w:line="240" w:lineRule="auto"/>
        <w:rPr>
          <w:rFonts w:ascii="Arial" w:hAnsi="Arial" w:cs="Arial"/>
          <w:b/>
          <w:highlight w:val="yellow"/>
        </w:rPr>
      </w:pPr>
    </w:p>
    <w:p w:rsidR="005F12CF" w:rsidRPr="00C74605" w:rsidRDefault="00180919" w:rsidP="00D4101E">
      <w:pPr>
        <w:spacing w:after="0" w:line="240" w:lineRule="auto"/>
        <w:rPr>
          <w:rFonts w:ascii="Arial" w:hAnsi="Arial" w:cs="Arial"/>
          <w:b/>
        </w:rPr>
      </w:pPr>
      <w:r w:rsidRPr="00C74605">
        <w:rPr>
          <w:rFonts w:ascii="Arial" w:hAnsi="Arial" w:cs="Arial"/>
          <w:b/>
        </w:rPr>
        <w:t>2.1 % of food licenses renewed by due date</w:t>
      </w:r>
      <w:r w:rsidR="005F12CF" w:rsidRPr="00C74605">
        <w:rPr>
          <w:rFonts w:ascii="Arial" w:hAnsi="Arial" w:cs="Arial"/>
          <w:b/>
        </w:rPr>
        <w:t xml:space="preserve">  </w:t>
      </w:r>
    </w:p>
    <w:p w:rsidR="00180919" w:rsidRPr="00C74605" w:rsidRDefault="00BF5AA0" w:rsidP="00180919">
      <w:pPr>
        <w:spacing w:after="0" w:line="240" w:lineRule="auto"/>
        <w:rPr>
          <w:rFonts w:ascii="Arial" w:hAnsi="Arial" w:cs="Arial"/>
        </w:rPr>
      </w:pPr>
      <w:r w:rsidRPr="00C74605">
        <w:rPr>
          <w:rFonts w:ascii="Arial" w:hAnsi="Arial" w:cs="Arial"/>
        </w:rPr>
        <w:t>9</w:t>
      </w:r>
      <w:r w:rsidR="001F15C5" w:rsidRPr="00C74605">
        <w:rPr>
          <w:rFonts w:ascii="Arial" w:hAnsi="Arial" w:cs="Arial"/>
        </w:rPr>
        <w:t>7</w:t>
      </w:r>
      <w:r w:rsidRPr="00C74605">
        <w:rPr>
          <w:rFonts w:ascii="Arial" w:hAnsi="Arial" w:cs="Arial"/>
        </w:rPr>
        <w:t>% of food licenses were renewed on time, which exceeds the goal of 90%. This high percentage is most likely due to the fact that applications are sent out to establishments to renew licenses. A second notice is sent, and a staff member will call the facilities a day before the due date if they have not sent in their application yet.</w:t>
      </w:r>
      <w:r w:rsidR="001F15C5" w:rsidRPr="00C74605">
        <w:rPr>
          <w:rFonts w:ascii="Arial" w:hAnsi="Arial" w:cs="Arial"/>
        </w:rPr>
        <w:t xml:space="preserve"> Establishments risk closure if their permit expires and is not renewed.</w:t>
      </w:r>
    </w:p>
    <w:p w:rsidR="00121F23" w:rsidRPr="00C74605" w:rsidRDefault="00121F23" w:rsidP="00180919">
      <w:pPr>
        <w:spacing w:after="0" w:line="240" w:lineRule="auto"/>
        <w:rPr>
          <w:rFonts w:ascii="Arial" w:hAnsi="Arial" w:cs="Arial"/>
          <w:b/>
        </w:rPr>
      </w:pPr>
    </w:p>
    <w:p w:rsidR="00180919" w:rsidRPr="00C74605" w:rsidRDefault="00180919" w:rsidP="00180919">
      <w:pPr>
        <w:spacing w:after="0" w:line="240" w:lineRule="auto"/>
        <w:rPr>
          <w:rFonts w:ascii="Arial" w:hAnsi="Arial" w:cs="Arial"/>
          <w:b/>
        </w:rPr>
      </w:pPr>
      <w:r w:rsidRPr="00C74605">
        <w:rPr>
          <w:rFonts w:ascii="Arial" w:hAnsi="Arial" w:cs="Arial"/>
          <w:b/>
        </w:rPr>
        <w:t>2.2 % of salon licenses renewed by due date</w:t>
      </w:r>
    </w:p>
    <w:p w:rsidR="00860F8A" w:rsidRPr="00C74605" w:rsidRDefault="001F15C5" w:rsidP="00180919">
      <w:pPr>
        <w:spacing w:after="0" w:line="240" w:lineRule="auto"/>
        <w:rPr>
          <w:rFonts w:ascii="Arial" w:hAnsi="Arial" w:cs="Arial"/>
        </w:rPr>
      </w:pPr>
      <w:r w:rsidRPr="00C74605">
        <w:rPr>
          <w:rFonts w:ascii="Arial" w:hAnsi="Arial" w:cs="Arial"/>
        </w:rPr>
        <w:t>92</w:t>
      </w:r>
      <w:r w:rsidR="00121F23" w:rsidRPr="00C74605">
        <w:rPr>
          <w:rFonts w:ascii="Arial" w:hAnsi="Arial" w:cs="Arial"/>
        </w:rPr>
        <w:t>% of salon licenses were renewed by the due date</w:t>
      </w:r>
      <w:r w:rsidR="00B56457" w:rsidRPr="00C74605">
        <w:rPr>
          <w:rFonts w:ascii="Arial" w:hAnsi="Arial" w:cs="Arial"/>
        </w:rPr>
        <w:t>,</w:t>
      </w:r>
      <w:r w:rsidR="0080115B" w:rsidRPr="00C74605">
        <w:rPr>
          <w:rFonts w:ascii="Arial" w:hAnsi="Arial" w:cs="Arial"/>
        </w:rPr>
        <w:t xml:space="preserve"> which was an increase of </w:t>
      </w:r>
      <w:r w:rsidRPr="00C74605">
        <w:rPr>
          <w:rFonts w:ascii="Arial" w:hAnsi="Arial" w:cs="Arial"/>
        </w:rPr>
        <w:t>6</w:t>
      </w:r>
      <w:r w:rsidR="0080115B" w:rsidRPr="00C74605">
        <w:rPr>
          <w:rFonts w:ascii="Arial" w:hAnsi="Arial" w:cs="Arial"/>
        </w:rPr>
        <w:t xml:space="preserve">% </w:t>
      </w:r>
      <w:r w:rsidR="00B56457" w:rsidRPr="00C74605">
        <w:rPr>
          <w:rFonts w:ascii="Arial" w:hAnsi="Arial" w:cs="Arial"/>
        </w:rPr>
        <w:t xml:space="preserve">increase </w:t>
      </w:r>
      <w:r w:rsidR="0080115B" w:rsidRPr="00C74605">
        <w:rPr>
          <w:rFonts w:ascii="Arial" w:hAnsi="Arial" w:cs="Arial"/>
        </w:rPr>
        <w:t>over the previous year</w:t>
      </w:r>
      <w:r w:rsidRPr="00C74605">
        <w:rPr>
          <w:rFonts w:ascii="Arial" w:hAnsi="Arial" w:cs="Arial"/>
        </w:rPr>
        <w:t>.</w:t>
      </w:r>
      <w:r w:rsidR="008509D9" w:rsidRPr="00C74605">
        <w:rPr>
          <w:rFonts w:ascii="Arial" w:hAnsi="Arial" w:cs="Arial"/>
        </w:rPr>
        <w:t xml:space="preserve"> </w:t>
      </w:r>
      <w:r w:rsidR="00121F23" w:rsidRPr="00C74605">
        <w:rPr>
          <w:rFonts w:ascii="Arial" w:hAnsi="Arial" w:cs="Arial"/>
        </w:rPr>
        <w:t xml:space="preserve">Those who didn’t renew by the due date did so within a couple </w:t>
      </w:r>
      <w:r w:rsidR="008509D9" w:rsidRPr="00C74605">
        <w:rPr>
          <w:rFonts w:ascii="Arial" w:hAnsi="Arial" w:cs="Arial"/>
        </w:rPr>
        <w:t xml:space="preserve">of </w:t>
      </w:r>
      <w:r w:rsidR="00121F23" w:rsidRPr="00C74605">
        <w:rPr>
          <w:rFonts w:ascii="Arial" w:hAnsi="Arial" w:cs="Arial"/>
        </w:rPr>
        <w:t xml:space="preserve">weeks past the due date. </w:t>
      </w:r>
      <w:r w:rsidR="008509D9" w:rsidRPr="00C74605">
        <w:rPr>
          <w:rFonts w:ascii="Arial" w:hAnsi="Arial" w:cs="Arial"/>
        </w:rPr>
        <w:t xml:space="preserve">The </w:t>
      </w:r>
      <w:r w:rsidR="002108EB" w:rsidRPr="00C74605">
        <w:rPr>
          <w:rFonts w:ascii="Arial" w:hAnsi="Arial" w:cs="Arial"/>
        </w:rPr>
        <w:t>6</w:t>
      </w:r>
      <w:r w:rsidR="008509D9" w:rsidRPr="00C74605">
        <w:rPr>
          <w:rFonts w:ascii="Arial" w:hAnsi="Arial" w:cs="Arial"/>
        </w:rPr>
        <w:t>% increase was due to calling the salon owners one week prior to the renewal date as part of a rapid PDSA quality improvement project.</w:t>
      </w:r>
    </w:p>
    <w:p w:rsidR="008509D9" w:rsidRPr="00C74605" w:rsidRDefault="008509D9" w:rsidP="00180919">
      <w:pPr>
        <w:spacing w:after="0" w:line="240" w:lineRule="auto"/>
        <w:rPr>
          <w:rFonts w:ascii="Arial" w:hAnsi="Arial" w:cs="Arial"/>
          <w:b/>
        </w:rPr>
      </w:pPr>
    </w:p>
    <w:p w:rsidR="00180919" w:rsidRPr="00C74605" w:rsidRDefault="00180919" w:rsidP="00180919">
      <w:pPr>
        <w:spacing w:after="0" w:line="240" w:lineRule="auto"/>
        <w:rPr>
          <w:rFonts w:ascii="Arial" w:hAnsi="Arial" w:cs="Arial"/>
          <w:b/>
        </w:rPr>
      </w:pPr>
      <w:r w:rsidRPr="00C74605">
        <w:rPr>
          <w:rFonts w:ascii="Arial" w:hAnsi="Arial" w:cs="Arial"/>
          <w:b/>
        </w:rPr>
        <w:t>2.3 % of pool licenses renewed by due date</w:t>
      </w:r>
    </w:p>
    <w:p w:rsidR="00354099" w:rsidRPr="00E073D3" w:rsidRDefault="008509D9" w:rsidP="00180919">
      <w:pPr>
        <w:spacing w:after="0" w:line="240" w:lineRule="auto"/>
        <w:rPr>
          <w:rFonts w:ascii="Arial" w:hAnsi="Arial" w:cs="Arial"/>
        </w:rPr>
      </w:pPr>
      <w:r w:rsidRPr="00C74605">
        <w:rPr>
          <w:rFonts w:ascii="Arial" w:hAnsi="Arial" w:cs="Arial"/>
        </w:rPr>
        <w:t>Our target for this measure is 90%</w:t>
      </w:r>
      <w:r w:rsidR="002D4052" w:rsidRPr="00C74605">
        <w:rPr>
          <w:rFonts w:ascii="Arial" w:hAnsi="Arial" w:cs="Arial"/>
        </w:rPr>
        <w:t>,</w:t>
      </w:r>
      <w:r w:rsidRPr="00C74605">
        <w:rPr>
          <w:rFonts w:ascii="Arial" w:hAnsi="Arial" w:cs="Arial"/>
        </w:rPr>
        <w:t xml:space="preserve"> and we met the goal by having 4</w:t>
      </w:r>
      <w:r w:rsidR="002108EB" w:rsidRPr="00C74605">
        <w:rPr>
          <w:rFonts w:ascii="Arial" w:hAnsi="Arial" w:cs="Arial"/>
        </w:rPr>
        <w:t>4</w:t>
      </w:r>
      <w:r w:rsidRPr="00C74605">
        <w:rPr>
          <w:rFonts w:ascii="Arial" w:hAnsi="Arial" w:cs="Arial"/>
        </w:rPr>
        <w:t xml:space="preserve"> of 4</w:t>
      </w:r>
      <w:r w:rsidR="002108EB" w:rsidRPr="00C74605">
        <w:rPr>
          <w:rFonts w:ascii="Arial" w:hAnsi="Arial" w:cs="Arial"/>
        </w:rPr>
        <w:t>6</w:t>
      </w:r>
      <w:r w:rsidRPr="00C74605">
        <w:rPr>
          <w:rFonts w:ascii="Arial" w:hAnsi="Arial" w:cs="Arial"/>
        </w:rPr>
        <w:t xml:space="preserve"> (9</w:t>
      </w:r>
      <w:r w:rsidR="002108EB" w:rsidRPr="00C74605">
        <w:rPr>
          <w:rFonts w:ascii="Arial" w:hAnsi="Arial" w:cs="Arial"/>
        </w:rPr>
        <w:t>6</w:t>
      </w:r>
      <w:r w:rsidRPr="00C74605">
        <w:rPr>
          <w:rFonts w:ascii="Arial" w:hAnsi="Arial" w:cs="Arial"/>
        </w:rPr>
        <w:t>%) pool licenses in by the due date. Even though the process for license renewal is the same for pools as salons, more pools renew by the due date. Unlike the salons, pools are run by management companies. These companies handle multiple pools and they renew each of them at the same time.</w:t>
      </w:r>
    </w:p>
    <w:p w:rsidR="008509D9" w:rsidRPr="00E073D3" w:rsidRDefault="008509D9" w:rsidP="00180919">
      <w:pPr>
        <w:spacing w:after="0" w:line="240" w:lineRule="auto"/>
        <w:rPr>
          <w:rFonts w:ascii="Arial" w:hAnsi="Arial" w:cs="Arial"/>
          <w:b/>
        </w:rPr>
      </w:pPr>
    </w:p>
    <w:p w:rsidR="00354099" w:rsidRPr="00C74605" w:rsidRDefault="00354099" w:rsidP="00180919">
      <w:pPr>
        <w:spacing w:after="0" w:line="240" w:lineRule="auto"/>
        <w:rPr>
          <w:rFonts w:ascii="Arial" w:hAnsi="Arial" w:cs="Arial"/>
          <w:b/>
        </w:rPr>
      </w:pPr>
      <w:r w:rsidRPr="00C74605">
        <w:rPr>
          <w:rFonts w:ascii="Arial" w:hAnsi="Arial" w:cs="Arial"/>
          <w:b/>
        </w:rPr>
        <w:t>3.2 # of standardization trainings conducted per year</w:t>
      </w:r>
    </w:p>
    <w:p w:rsidR="008509D9" w:rsidRPr="00C74605" w:rsidRDefault="008509D9" w:rsidP="00354099">
      <w:pPr>
        <w:spacing w:after="0" w:line="240" w:lineRule="auto"/>
        <w:rPr>
          <w:rFonts w:ascii="Arial" w:hAnsi="Arial" w:cs="Arial"/>
        </w:rPr>
      </w:pPr>
      <w:r w:rsidRPr="00C74605">
        <w:rPr>
          <w:rFonts w:ascii="Arial" w:hAnsi="Arial" w:cs="Arial"/>
        </w:rPr>
        <w:lastRenderedPageBreak/>
        <w:t>An objective was established in the 2013-2015 strategic plan to complete two food inspection standardization trainings a year in house. This is in addition to a mandated one held by the State Food Protection Program each fall. Trainings were held in September 201</w:t>
      </w:r>
      <w:r w:rsidR="002108EB" w:rsidRPr="00C74605">
        <w:rPr>
          <w:rFonts w:ascii="Arial" w:hAnsi="Arial" w:cs="Arial"/>
        </w:rPr>
        <w:t>6</w:t>
      </w:r>
      <w:r w:rsidRPr="00C74605">
        <w:rPr>
          <w:rFonts w:ascii="Arial" w:hAnsi="Arial" w:cs="Arial"/>
        </w:rPr>
        <w:t xml:space="preserve"> and June 201</w:t>
      </w:r>
      <w:r w:rsidR="002108EB" w:rsidRPr="00C74605">
        <w:rPr>
          <w:rFonts w:ascii="Arial" w:hAnsi="Arial" w:cs="Arial"/>
        </w:rPr>
        <w:t>7</w:t>
      </w:r>
      <w:r w:rsidR="00DC16B9" w:rsidRPr="00C74605">
        <w:rPr>
          <w:rFonts w:ascii="Arial" w:hAnsi="Arial" w:cs="Arial"/>
        </w:rPr>
        <w:t>,</w:t>
      </w:r>
      <w:r w:rsidRPr="00C74605">
        <w:rPr>
          <w:rFonts w:ascii="Arial" w:hAnsi="Arial" w:cs="Arial"/>
        </w:rPr>
        <w:t xml:space="preserve"> and inspectors were evaluated using average scores by type, class, risk factors and critical violations. Quality assurance inspections were also conducted</w:t>
      </w:r>
      <w:r w:rsidR="00B652B6" w:rsidRPr="00C74605">
        <w:rPr>
          <w:rFonts w:ascii="Arial" w:hAnsi="Arial" w:cs="Arial"/>
        </w:rPr>
        <w:t xml:space="preserve"> where two inspectors conducted a class </w:t>
      </w:r>
      <w:r w:rsidR="00B22B27" w:rsidRPr="00C74605">
        <w:rPr>
          <w:rFonts w:ascii="Arial" w:hAnsi="Arial" w:cs="Arial"/>
        </w:rPr>
        <w:t>four</w:t>
      </w:r>
      <w:r w:rsidR="00B652B6" w:rsidRPr="00C74605">
        <w:rPr>
          <w:rFonts w:ascii="Arial" w:hAnsi="Arial" w:cs="Arial"/>
        </w:rPr>
        <w:t xml:space="preserve"> inspection at the same time and compared results.</w:t>
      </w:r>
      <w:r w:rsidRPr="00C74605">
        <w:rPr>
          <w:rFonts w:ascii="Arial" w:hAnsi="Arial" w:cs="Arial"/>
        </w:rPr>
        <w:t xml:space="preserve"> </w:t>
      </w:r>
    </w:p>
    <w:p w:rsidR="008509D9" w:rsidRPr="00C74605" w:rsidRDefault="008509D9" w:rsidP="00354099">
      <w:pPr>
        <w:spacing w:after="0" w:line="240" w:lineRule="auto"/>
        <w:rPr>
          <w:rFonts w:ascii="Arial" w:hAnsi="Arial" w:cs="Arial"/>
          <w:b/>
        </w:rPr>
      </w:pPr>
    </w:p>
    <w:p w:rsidR="009E613E" w:rsidRPr="00C74605" w:rsidRDefault="009E613E" w:rsidP="00354099">
      <w:pPr>
        <w:spacing w:after="0" w:line="240" w:lineRule="auto"/>
        <w:rPr>
          <w:rFonts w:ascii="Arial" w:hAnsi="Arial" w:cs="Arial"/>
          <w:b/>
        </w:rPr>
      </w:pPr>
      <w:r w:rsidRPr="00C74605">
        <w:rPr>
          <w:rFonts w:ascii="Arial" w:hAnsi="Arial" w:cs="Arial"/>
          <w:b/>
        </w:rPr>
        <w:t>4.1 % of food establishment orders into code compliance within time frames</w:t>
      </w:r>
    </w:p>
    <w:p w:rsidR="009E613E" w:rsidRPr="00C74605" w:rsidRDefault="00B652B6" w:rsidP="009E613E">
      <w:pPr>
        <w:spacing w:after="0" w:line="240" w:lineRule="auto"/>
        <w:rPr>
          <w:rFonts w:ascii="Arial" w:hAnsi="Arial" w:cs="Arial"/>
        </w:rPr>
      </w:pPr>
      <w:r w:rsidRPr="00C74605">
        <w:rPr>
          <w:rFonts w:ascii="Arial" w:hAnsi="Arial" w:cs="Arial"/>
        </w:rPr>
        <w:t>100% of food establishments were brought into code compliance within the required time frames. 1,6</w:t>
      </w:r>
      <w:r w:rsidR="002108EB" w:rsidRPr="00C74605">
        <w:rPr>
          <w:rFonts w:ascii="Arial" w:hAnsi="Arial" w:cs="Arial"/>
        </w:rPr>
        <w:t>01</w:t>
      </w:r>
      <w:r w:rsidRPr="00C74605">
        <w:rPr>
          <w:rFonts w:ascii="Arial" w:hAnsi="Arial" w:cs="Arial"/>
        </w:rPr>
        <w:t xml:space="preserve"> regular inspections were completed for food establishments, and there were 1</w:t>
      </w:r>
      <w:r w:rsidR="002108EB" w:rsidRPr="00C74605">
        <w:rPr>
          <w:rFonts w:ascii="Arial" w:hAnsi="Arial" w:cs="Arial"/>
        </w:rPr>
        <w:t>28</w:t>
      </w:r>
      <w:r w:rsidRPr="00C74605">
        <w:rPr>
          <w:rFonts w:ascii="Arial" w:hAnsi="Arial" w:cs="Arial"/>
        </w:rPr>
        <w:t xml:space="preserve"> failures of food establishments during these inspections. </w:t>
      </w:r>
      <w:r w:rsidR="004B2060" w:rsidRPr="00C74605">
        <w:rPr>
          <w:rFonts w:ascii="Arial" w:hAnsi="Arial" w:cs="Arial"/>
        </w:rPr>
        <w:t xml:space="preserve">This was a </w:t>
      </w:r>
      <w:r w:rsidR="002108EB" w:rsidRPr="00C74605">
        <w:rPr>
          <w:rFonts w:ascii="Arial" w:hAnsi="Arial" w:cs="Arial"/>
        </w:rPr>
        <w:t>de</w:t>
      </w:r>
      <w:r w:rsidR="004B2060" w:rsidRPr="00C74605">
        <w:rPr>
          <w:rFonts w:ascii="Arial" w:hAnsi="Arial" w:cs="Arial"/>
        </w:rPr>
        <w:t>crease of forty</w:t>
      </w:r>
      <w:r w:rsidR="002108EB" w:rsidRPr="00C74605">
        <w:rPr>
          <w:rFonts w:ascii="Arial" w:hAnsi="Arial" w:cs="Arial"/>
        </w:rPr>
        <w:t>-five</w:t>
      </w:r>
      <w:r w:rsidR="004B2060" w:rsidRPr="00C74605">
        <w:rPr>
          <w:rFonts w:ascii="Arial" w:hAnsi="Arial" w:cs="Arial"/>
        </w:rPr>
        <w:t xml:space="preserve"> failures over the previous year</w:t>
      </w:r>
      <w:r w:rsidR="002108EB" w:rsidRPr="00C74605">
        <w:rPr>
          <w:rFonts w:ascii="Arial" w:hAnsi="Arial" w:cs="Arial"/>
        </w:rPr>
        <w:t>.</w:t>
      </w:r>
      <w:r w:rsidR="004B2060" w:rsidRPr="00C74605">
        <w:rPr>
          <w:rFonts w:ascii="Arial" w:hAnsi="Arial" w:cs="Arial"/>
        </w:rPr>
        <w:t xml:space="preserve"> </w:t>
      </w:r>
      <w:r w:rsidRPr="00C74605">
        <w:rPr>
          <w:rFonts w:ascii="Arial" w:hAnsi="Arial" w:cs="Arial"/>
        </w:rPr>
        <w:t>The establishments corrected their violations either on site or on time in order to be code compliant and remain open.</w:t>
      </w:r>
    </w:p>
    <w:p w:rsidR="00DF0FB5" w:rsidRPr="009D096B" w:rsidRDefault="00DF0FB5" w:rsidP="009E613E">
      <w:pPr>
        <w:spacing w:after="0" w:line="240" w:lineRule="auto"/>
        <w:rPr>
          <w:rFonts w:ascii="Arial" w:hAnsi="Arial" w:cs="Arial"/>
          <w:b/>
          <w:highlight w:val="yellow"/>
        </w:rPr>
      </w:pPr>
    </w:p>
    <w:p w:rsidR="009E613E" w:rsidRPr="00C74605" w:rsidRDefault="009E613E" w:rsidP="009E613E">
      <w:pPr>
        <w:spacing w:after="0" w:line="240" w:lineRule="auto"/>
        <w:rPr>
          <w:rFonts w:ascii="Arial" w:hAnsi="Arial" w:cs="Arial"/>
          <w:b/>
        </w:rPr>
      </w:pPr>
      <w:r w:rsidRPr="00C74605">
        <w:rPr>
          <w:rFonts w:ascii="Arial" w:hAnsi="Arial" w:cs="Arial"/>
          <w:b/>
        </w:rPr>
        <w:t>4.2 % of eligible food establishments receiving Lighthouse Awards</w:t>
      </w:r>
    </w:p>
    <w:p w:rsidR="001C25AC" w:rsidRPr="00C74605" w:rsidRDefault="00DF0FB5" w:rsidP="004B7A4A">
      <w:pPr>
        <w:spacing w:after="0" w:line="240" w:lineRule="auto"/>
        <w:rPr>
          <w:rFonts w:ascii="Arial" w:hAnsi="Arial" w:cs="Arial"/>
        </w:rPr>
      </w:pPr>
      <w:r w:rsidRPr="00C74605">
        <w:rPr>
          <w:rFonts w:ascii="Arial" w:hAnsi="Arial" w:cs="Arial"/>
        </w:rPr>
        <w:t xml:space="preserve">A class three or four food establishment must exhibit safe food handling practices, have a qualified food operator always on site, and score a 90 or higher without critical violations for the four most recent inspections in order to be awarded the Lighthouse Award. </w:t>
      </w:r>
      <w:r w:rsidR="002108EB" w:rsidRPr="00C74605">
        <w:rPr>
          <w:rFonts w:ascii="Arial" w:hAnsi="Arial" w:cs="Arial"/>
        </w:rPr>
        <w:t>Two</w:t>
      </w:r>
      <w:r w:rsidRPr="00C74605">
        <w:rPr>
          <w:rFonts w:ascii="Arial" w:hAnsi="Arial" w:cs="Arial"/>
        </w:rPr>
        <w:t xml:space="preserve"> hundred and </w:t>
      </w:r>
      <w:r w:rsidR="002108EB" w:rsidRPr="00C74605">
        <w:rPr>
          <w:rFonts w:ascii="Arial" w:hAnsi="Arial" w:cs="Arial"/>
        </w:rPr>
        <w:t>twelve</w:t>
      </w:r>
      <w:r w:rsidRPr="00C74605">
        <w:rPr>
          <w:rFonts w:ascii="Arial" w:hAnsi="Arial" w:cs="Arial"/>
        </w:rPr>
        <w:t xml:space="preserve"> food establishments received the award this year, which is </w:t>
      </w:r>
      <w:r w:rsidR="002108EB" w:rsidRPr="00C74605">
        <w:rPr>
          <w:rFonts w:ascii="Arial" w:hAnsi="Arial" w:cs="Arial"/>
        </w:rPr>
        <w:t>50</w:t>
      </w:r>
      <w:r w:rsidRPr="00C74605">
        <w:rPr>
          <w:rFonts w:ascii="Arial" w:hAnsi="Arial" w:cs="Arial"/>
        </w:rPr>
        <w:t>% of the eligible establishments (</w:t>
      </w:r>
      <w:r w:rsidR="002108EB" w:rsidRPr="00C74605">
        <w:rPr>
          <w:rFonts w:ascii="Arial" w:hAnsi="Arial" w:cs="Arial"/>
        </w:rPr>
        <w:t>212</w:t>
      </w:r>
      <w:r w:rsidRPr="00C74605">
        <w:rPr>
          <w:rFonts w:ascii="Arial" w:hAnsi="Arial" w:cs="Arial"/>
        </w:rPr>
        <w:t>/4</w:t>
      </w:r>
      <w:r w:rsidR="002108EB" w:rsidRPr="00C74605">
        <w:rPr>
          <w:rFonts w:ascii="Arial" w:hAnsi="Arial" w:cs="Arial"/>
        </w:rPr>
        <w:t>24</w:t>
      </w:r>
      <w:r w:rsidRPr="00C74605">
        <w:rPr>
          <w:rFonts w:ascii="Arial" w:hAnsi="Arial" w:cs="Arial"/>
        </w:rPr>
        <w:t>), meeting the 40% goal. Twenty-</w:t>
      </w:r>
      <w:r w:rsidR="002108EB" w:rsidRPr="00C74605">
        <w:rPr>
          <w:rFonts w:ascii="Arial" w:hAnsi="Arial" w:cs="Arial"/>
        </w:rPr>
        <w:t>two</w:t>
      </w:r>
      <w:r w:rsidRPr="00C74605">
        <w:rPr>
          <w:rFonts w:ascii="Arial" w:hAnsi="Arial" w:cs="Arial"/>
        </w:rPr>
        <w:t xml:space="preserve"> of these establishments have received the award for the past </w:t>
      </w:r>
      <w:r w:rsidR="002108EB" w:rsidRPr="00C74605">
        <w:rPr>
          <w:rFonts w:ascii="Arial" w:hAnsi="Arial" w:cs="Arial"/>
        </w:rPr>
        <w:t>nine</w:t>
      </w:r>
      <w:r w:rsidRPr="00C74605">
        <w:rPr>
          <w:rFonts w:ascii="Arial" w:hAnsi="Arial" w:cs="Arial"/>
        </w:rPr>
        <w:t xml:space="preserve"> years. Every year there is an increase or same number of establishments who receive the award. 41% received the award in 2011, 43% in 2012, 45% in 2013 and 46% in 2014</w:t>
      </w:r>
      <w:r w:rsidR="002108EB" w:rsidRPr="00C74605">
        <w:rPr>
          <w:rFonts w:ascii="Arial" w:hAnsi="Arial" w:cs="Arial"/>
        </w:rPr>
        <w:t>,</w:t>
      </w:r>
      <w:r w:rsidRPr="00C74605">
        <w:rPr>
          <w:rFonts w:ascii="Arial" w:hAnsi="Arial" w:cs="Arial"/>
        </w:rPr>
        <w:t xml:space="preserve"> 2015</w:t>
      </w:r>
      <w:r w:rsidR="002108EB" w:rsidRPr="00C74605">
        <w:rPr>
          <w:rFonts w:ascii="Arial" w:hAnsi="Arial" w:cs="Arial"/>
        </w:rPr>
        <w:t xml:space="preserve"> &amp; 2016</w:t>
      </w:r>
      <w:r w:rsidRPr="00C74605">
        <w:rPr>
          <w:rFonts w:ascii="Arial" w:hAnsi="Arial" w:cs="Arial"/>
        </w:rPr>
        <w:t>.</w:t>
      </w:r>
    </w:p>
    <w:p w:rsidR="002A6ED3" w:rsidRPr="00C74605" w:rsidRDefault="002A6ED3" w:rsidP="004B7A4A">
      <w:pPr>
        <w:spacing w:after="0" w:line="240" w:lineRule="auto"/>
        <w:rPr>
          <w:rFonts w:ascii="Arial" w:hAnsi="Arial" w:cs="Arial"/>
        </w:rPr>
      </w:pPr>
    </w:p>
    <w:p w:rsidR="001C25AC" w:rsidRPr="00C74605" w:rsidRDefault="001C25AC" w:rsidP="004B7A4A">
      <w:pPr>
        <w:spacing w:after="0" w:line="240" w:lineRule="auto"/>
        <w:rPr>
          <w:rFonts w:ascii="Arial" w:hAnsi="Arial" w:cs="Arial"/>
          <w:b/>
        </w:rPr>
      </w:pPr>
      <w:r w:rsidRPr="00C74605">
        <w:rPr>
          <w:rFonts w:ascii="Arial" w:hAnsi="Arial" w:cs="Arial"/>
          <w:b/>
        </w:rPr>
        <w:t>4.3 % of foodborne outbreak investigations initiated within 48 business hours</w:t>
      </w:r>
    </w:p>
    <w:p w:rsidR="004B7A4A" w:rsidRPr="00C74605" w:rsidRDefault="00DF0FB5" w:rsidP="004B7A4A">
      <w:pPr>
        <w:spacing w:after="0" w:line="240" w:lineRule="auto"/>
        <w:rPr>
          <w:rFonts w:ascii="Arial" w:hAnsi="Arial" w:cs="Arial"/>
        </w:rPr>
      </w:pPr>
      <w:r w:rsidRPr="00C74605">
        <w:rPr>
          <w:rFonts w:ascii="Arial" w:hAnsi="Arial" w:cs="Arial"/>
        </w:rPr>
        <w:t>All reports of foodborne illness outbreaks reported were investigated within 24 hours of notification.</w:t>
      </w:r>
    </w:p>
    <w:p w:rsidR="00DF0FB5" w:rsidRPr="00C74605" w:rsidRDefault="00DF0FB5" w:rsidP="004B7A4A">
      <w:pPr>
        <w:spacing w:after="0" w:line="240" w:lineRule="auto"/>
        <w:rPr>
          <w:rFonts w:ascii="Arial" w:hAnsi="Arial" w:cs="Arial"/>
        </w:rPr>
      </w:pPr>
    </w:p>
    <w:p w:rsidR="000437A2" w:rsidRPr="00C74605" w:rsidRDefault="000437A2" w:rsidP="004B7A4A">
      <w:pPr>
        <w:spacing w:after="0" w:line="240" w:lineRule="auto"/>
        <w:rPr>
          <w:rFonts w:ascii="Arial" w:hAnsi="Arial" w:cs="Arial"/>
          <w:b/>
        </w:rPr>
      </w:pPr>
      <w:r w:rsidRPr="00C74605">
        <w:rPr>
          <w:rFonts w:ascii="Arial" w:hAnsi="Arial" w:cs="Arial"/>
          <w:b/>
        </w:rPr>
        <w:t>4.4 % of comprehensive lead investigations completed for children with blood lead levels greater than fifteen micrograms per deciliter</w:t>
      </w:r>
    </w:p>
    <w:p w:rsidR="00DF0FB5" w:rsidRPr="00E073D3" w:rsidRDefault="00DF0FB5" w:rsidP="004B7A4A">
      <w:pPr>
        <w:spacing w:after="0" w:line="240" w:lineRule="auto"/>
        <w:rPr>
          <w:rFonts w:ascii="Arial" w:hAnsi="Arial" w:cs="Arial"/>
        </w:rPr>
      </w:pPr>
      <w:r w:rsidRPr="00C74605">
        <w:rPr>
          <w:rFonts w:ascii="Arial" w:hAnsi="Arial" w:cs="Arial"/>
        </w:rPr>
        <w:t>All comprehensive lead investigations were completed on time during the fiscal year. The comprehensive lead investigation includes initiating an inspection within five days of notification. The inspection includes soil testing, dust wipe testing, water testing, investigation of defective surfaces and an X-Ray Fluorescence analyzer to determine the presence of lead.</w:t>
      </w:r>
    </w:p>
    <w:p w:rsidR="006853E8" w:rsidRPr="00C44495" w:rsidRDefault="006853E8" w:rsidP="004B7A4A">
      <w:pPr>
        <w:spacing w:after="0" w:line="240" w:lineRule="auto"/>
        <w:rPr>
          <w:rFonts w:ascii="Arial" w:hAnsi="Arial" w:cs="Arial"/>
        </w:rPr>
      </w:pPr>
    </w:p>
    <w:p w:rsidR="006853E8" w:rsidRPr="00C44495" w:rsidRDefault="006853E8" w:rsidP="004B7A4A">
      <w:pPr>
        <w:spacing w:after="0" w:line="240" w:lineRule="auto"/>
        <w:rPr>
          <w:rFonts w:ascii="Arial" w:hAnsi="Arial" w:cs="Arial"/>
        </w:rPr>
      </w:pPr>
    </w:p>
    <w:p w:rsidR="00560F7B" w:rsidRPr="00C44495" w:rsidRDefault="00560F7B" w:rsidP="00560F7B">
      <w:pPr>
        <w:pStyle w:val="Title"/>
        <w:rPr>
          <w:rFonts w:ascii="Arial" w:hAnsi="Arial" w:cs="Arial"/>
          <w:color w:val="auto"/>
          <w:sz w:val="28"/>
          <w:szCs w:val="28"/>
        </w:rPr>
      </w:pPr>
      <w:r w:rsidRPr="00C44495">
        <w:rPr>
          <w:rFonts w:ascii="Arial" w:hAnsi="Arial" w:cs="Arial"/>
          <w:color w:val="auto"/>
          <w:sz w:val="28"/>
          <w:szCs w:val="28"/>
        </w:rPr>
        <w:t>Opportunities for Improvement</w:t>
      </w:r>
    </w:p>
    <w:p w:rsidR="00A2346C" w:rsidRPr="00C74605" w:rsidRDefault="0065105F" w:rsidP="00C44495">
      <w:pPr>
        <w:pStyle w:val="ListParagraph"/>
        <w:numPr>
          <w:ilvl w:val="0"/>
          <w:numId w:val="22"/>
        </w:numPr>
        <w:spacing w:after="0" w:line="240" w:lineRule="auto"/>
        <w:rPr>
          <w:rFonts w:ascii="Arial" w:hAnsi="Arial" w:cs="Arial"/>
        </w:rPr>
      </w:pPr>
      <w:r w:rsidRPr="00C74605">
        <w:rPr>
          <w:rFonts w:ascii="Arial" w:hAnsi="Arial" w:cs="Arial"/>
        </w:rPr>
        <w:t>Public Act 17-93 adopts the FDA Food Code as Connecticut’s food code beginning on July 1, 2018</w:t>
      </w:r>
    </w:p>
    <w:p w:rsidR="00123FD1" w:rsidRPr="00C74605" w:rsidRDefault="008D63F8" w:rsidP="00C44495">
      <w:pPr>
        <w:pStyle w:val="ListParagraph"/>
        <w:numPr>
          <w:ilvl w:val="0"/>
          <w:numId w:val="22"/>
        </w:numPr>
        <w:spacing w:after="0" w:line="240" w:lineRule="auto"/>
        <w:rPr>
          <w:rFonts w:ascii="Arial" w:hAnsi="Arial" w:cs="Arial"/>
        </w:rPr>
      </w:pPr>
      <w:r w:rsidRPr="00C74605">
        <w:rPr>
          <w:rFonts w:ascii="Arial" w:hAnsi="Arial" w:cs="Arial"/>
        </w:rPr>
        <w:t>Continue</w:t>
      </w:r>
      <w:r w:rsidR="005816A2" w:rsidRPr="00C74605">
        <w:rPr>
          <w:rFonts w:ascii="Arial" w:hAnsi="Arial" w:cs="Arial"/>
        </w:rPr>
        <w:t xml:space="preserve"> standardization of food inspections </w:t>
      </w:r>
      <w:r w:rsidRPr="00C74605">
        <w:rPr>
          <w:rFonts w:ascii="Arial" w:hAnsi="Arial" w:cs="Arial"/>
        </w:rPr>
        <w:t>by utilizing</w:t>
      </w:r>
      <w:r w:rsidR="005816A2" w:rsidRPr="00C74605">
        <w:rPr>
          <w:rFonts w:ascii="Arial" w:hAnsi="Arial" w:cs="Arial"/>
        </w:rPr>
        <w:t xml:space="preserve"> quality assurance inspections</w:t>
      </w:r>
    </w:p>
    <w:p w:rsidR="00C44495" w:rsidRPr="00C44495" w:rsidRDefault="00C44495" w:rsidP="00C44495">
      <w:pPr>
        <w:pStyle w:val="ListParagraph"/>
        <w:spacing w:after="0" w:line="240" w:lineRule="auto"/>
        <w:rPr>
          <w:rFonts w:ascii="Arial" w:hAnsi="Arial" w:cs="Arial"/>
        </w:rPr>
      </w:pPr>
    </w:p>
    <w:p w:rsidR="00C44495" w:rsidRPr="00C44495" w:rsidRDefault="00560F7B" w:rsidP="00C44495">
      <w:pPr>
        <w:pStyle w:val="Title"/>
        <w:rPr>
          <w:rFonts w:ascii="Arial" w:hAnsi="Arial" w:cs="Arial"/>
          <w:color w:val="auto"/>
          <w:sz w:val="28"/>
          <w:szCs w:val="28"/>
        </w:rPr>
      </w:pPr>
      <w:r w:rsidRPr="00C44495">
        <w:rPr>
          <w:rFonts w:ascii="Arial" w:hAnsi="Arial" w:cs="Arial"/>
          <w:color w:val="auto"/>
          <w:sz w:val="28"/>
          <w:szCs w:val="28"/>
        </w:rPr>
        <w:t>Next Steps</w:t>
      </w:r>
    </w:p>
    <w:p w:rsidR="000F59DD" w:rsidRPr="00C74605" w:rsidRDefault="00123FD1" w:rsidP="008B3CA3">
      <w:pPr>
        <w:pStyle w:val="ListParagraph"/>
        <w:numPr>
          <w:ilvl w:val="0"/>
          <w:numId w:val="23"/>
        </w:numPr>
        <w:spacing w:after="0" w:line="240" w:lineRule="auto"/>
        <w:rPr>
          <w:rFonts w:ascii="Arial" w:hAnsi="Arial" w:cs="Arial"/>
        </w:rPr>
      </w:pPr>
      <w:r w:rsidRPr="00C74605">
        <w:rPr>
          <w:rFonts w:ascii="Arial" w:hAnsi="Arial" w:cs="Arial"/>
        </w:rPr>
        <w:t>Review performance management dashboard and analysis with staff</w:t>
      </w:r>
      <w:r w:rsidR="00E073D3" w:rsidRPr="00C74605">
        <w:rPr>
          <w:rFonts w:ascii="Arial" w:hAnsi="Arial" w:cs="Arial"/>
        </w:rPr>
        <w:t>.</w:t>
      </w:r>
    </w:p>
    <w:p w:rsidR="001F61EF" w:rsidRPr="00C74605" w:rsidRDefault="0065105F" w:rsidP="008B3CA3">
      <w:pPr>
        <w:pStyle w:val="ListParagraph"/>
        <w:numPr>
          <w:ilvl w:val="0"/>
          <w:numId w:val="23"/>
        </w:numPr>
        <w:spacing w:after="0" w:line="240" w:lineRule="auto"/>
        <w:rPr>
          <w:rFonts w:ascii="Arial" w:hAnsi="Arial" w:cs="Arial"/>
        </w:rPr>
      </w:pPr>
      <w:r w:rsidRPr="00C74605">
        <w:rPr>
          <w:rFonts w:ascii="Arial" w:hAnsi="Arial" w:cs="Arial"/>
        </w:rPr>
        <w:t xml:space="preserve">The Connecticut Food Protection Program developed certification protocol based on the FDA Retail Food Program Standards. </w:t>
      </w:r>
    </w:p>
    <w:p w:rsidR="0080276E" w:rsidRPr="00C74605" w:rsidRDefault="0080276E" w:rsidP="008B3CA3">
      <w:pPr>
        <w:pStyle w:val="ListParagraph"/>
        <w:numPr>
          <w:ilvl w:val="0"/>
          <w:numId w:val="23"/>
        </w:numPr>
        <w:spacing w:after="0" w:line="240" w:lineRule="auto"/>
        <w:rPr>
          <w:rFonts w:ascii="Arial" w:hAnsi="Arial" w:cs="Arial"/>
        </w:rPr>
      </w:pPr>
      <w:r w:rsidRPr="00C74605">
        <w:rPr>
          <w:rFonts w:ascii="Arial" w:hAnsi="Arial" w:cs="Arial"/>
        </w:rPr>
        <w:t>Current Food Inspectors will need to become certified before July 1, 2018 to enforce the FDA Food Code. This includes completing 47 FDA online courses and attending the Food Protection Programs classroom trainings.</w:t>
      </w:r>
    </w:p>
    <w:p w:rsidR="0080276E" w:rsidRPr="00C74605" w:rsidRDefault="0080276E" w:rsidP="008B3CA3">
      <w:pPr>
        <w:pStyle w:val="ListParagraph"/>
        <w:numPr>
          <w:ilvl w:val="0"/>
          <w:numId w:val="23"/>
        </w:numPr>
        <w:spacing w:after="0" w:line="240" w:lineRule="auto"/>
        <w:rPr>
          <w:rFonts w:ascii="Arial" w:hAnsi="Arial" w:cs="Arial"/>
        </w:rPr>
      </w:pPr>
      <w:r w:rsidRPr="00C74605">
        <w:rPr>
          <w:rFonts w:ascii="Arial" w:hAnsi="Arial" w:cs="Arial"/>
        </w:rPr>
        <w:t xml:space="preserve">New inspection form does not include scores and is a completely different evaluating system. </w:t>
      </w:r>
    </w:p>
    <w:p w:rsidR="005816A2" w:rsidRPr="00C74605" w:rsidRDefault="0080276E" w:rsidP="008B3CA3">
      <w:pPr>
        <w:pStyle w:val="ListParagraph"/>
        <w:numPr>
          <w:ilvl w:val="0"/>
          <w:numId w:val="23"/>
        </w:numPr>
        <w:spacing w:after="0" w:line="240" w:lineRule="auto"/>
        <w:rPr>
          <w:rFonts w:ascii="Arial" w:hAnsi="Arial" w:cs="Arial"/>
        </w:rPr>
      </w:pPr>
      <w:r w:rsidRPr="00C74605">
        <w:rPr>
          <w:rFonts w:ascii="Arial" w:hAnsi="Arial" w:cs="Arial"/>
        </w:rPr>
        <w:t>Lighthouse Program</w:t>
      </w:r>
      <w:r w:rsidR="008B0E2B" w:rsidRPr="00C74605">
        <w:rPr>
          <w:rFonts w:ascii="Arial" w:hAnsi="Arial" w:cs="Arial"/>
        </w:rPr>
        <w:t xml:space="preserve"> and Environmental Software needs to re-evaluated moving forward.</w:t>
      </w:r>
      <w:r w:rsidR="000C7048" w:rsidRPr="00C74605">
        <w:rPr>
          <w:rFonts w:ascii="Arial" w:hAnsi="Arial" w:cs="Arial"/>
        </w:rPr>
        <w:t xml:space="preserve"> </w:t>
      </w:r>
    </w:p>
    <w:sectPr w:rsidR="005816A2" w:rsidRPr="00C74605" w:rsidSect="00F642C5">
      <w:footerReference w:type="default" r:id="rId8"/>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ADE" w:rsidRDefault="00137ADE" w:rsidP="00B97850">
      <w:pPr>
        <w:spacing w:after="0" w:line="240" w:lineRule="auto"/>
      </w:pPr>
      <w:r>
        <w:separator/>
      </w:r>
    </w:p>
  </w:endnote>
  <w:endnote w:type="continuationSeparator" w:id="0">
    <w:p w:rsidR="00137ADE" w:rsidRDefault="00137ADE" w:rsidP="00B9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265268"/>
      <w:docPartObj>
        <w:docPartGallery w:val="Page Numbers (Bottom of Page)"/>
        <w:docPartUnique/>
      </w:docPartObj>
    </w:sdtPr>
    <w:sdtEndPr>
      <w:rPr>
        <w:noProof/>
      </w:rPr>
    </w:sdtEndPr>
    <w:sdtContent>
      <w:p w:rsidR="00B97850" w:rsidRDefault="00B97850">
        <w:pPr>
          <w:pStyle w:val="Footer"/>
          <w:jc w:val="center"/>
        </w:pPr>
        <w:r>
          <w:fldChar w:fldCharType="begin"/>
        </w:r>
        <w:r>
          <w:instrText xml:space="preserve"> PAGE   \* MERGEFORMAT </w:instrText>
        </w:r>
        <w:r>
          <w:fldChar w:fldCharType="separate"/>
        </w:r>
        <w:r w:rsidR="009E762D">
          <w:rPr>
            <w:noProof/>
          </w:rPr>
          <w:t>3</w:t>
        </w:r>
        <w:r>
          <w:rPr>
            <w:noProof/>
          </w:rPr>
          <w:fldChar w:fldCharType="end"/>
        </w:r>
      </w:p>
    </w:sdtContent>
  </w:sdt>
  <w:p w:rsidR="00B97850" w:rsidRDefault="00B9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ADE" w:rsidRDefault="00137ADE" w:rsidP="00B97850">
      <w:pPr>
        <w:spacing w:after="0" w:line="240" w:lineRule="auto"/>
      </w:pPr>
      <w:r>
        <w:separator/>
      </w:r>
    </w:p>
  </w:footnote>
  <w:footnote w:type="continuationSeparator" w:id="0">
    <w:p w:rsidR="00137ADE" w:rsidRDefault="00137ADE" w:rsidP="00B97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2DF6"/>
    <w:multiLevelType w:val="hybridMultilevel"/>
    <w:tmpl w:val="D12E50A4"/>
    <w:lvl w:ilvl="0" w:tplc="04090001">
      <w:start w:val="1"/>
      <w:numFmt w:val="bullet"/>
      <w:lvlText w:val=""/>
      <w:lvlJc w:val="left"/>
      <w:pPr>
        <w:tabs>
          <w:tab w:val="num" w:pos="450"/>
        </w:tabs>
        <w:ind w:left="450" w:hanging="360"/>
      </w:pPr>
      <w:rPr>
        <w:rFonts w:ascii="Symbol" w:hAnsi="Symbol" w:hint="default"/>
      </w:rPr>
    </w:lvl>
    <w:lvl w:ilvl="1" w:tplc="7166EB9C" w:tentative="1">
      <w:start w:val="1"/>
      <w:numFmt w:val="bullet"/>
      <w:lvlText w:val="n"/>
      <w:lvlJc w:val="left"/>
      <w:pPr>
        <w:tabs>
          <w:tab w:val="num" w:pos="1170"/>
        </w:tabs>
        <w:ind w:left="1170" w:hanging="360"/>
      </w:pPr>
      <w:rPr>
        <w:rFonts w:ascii="Monotype Sorts" w:hAnsi="Monotype Sorts" w:hint="default"/>
      </w:rPr>
    </w:lvl>
    <w:lvl w:ilvl="2" w:tplc="6B921CAA" w:tentative="1">
      <w:start w:val="1"/>
      <w:numFmt w:val="bullet"/>
      <w:lvlText w:val="n"/>
      <w:lvlJc w:val="left"/>
      <w:pPr>
        <w:tabs>
          <w:tab w:val="num" w:pos="1890"/>
        </w:tabs>
        <w:ind w:left="1890" w:hanging="360"/>
      </w:pPr>
      <w:rPr>
        <w:rFonts w:ascii="Monotype Sorts" w:hAnsi="Monotype Sorts" w:hint="default"/>
      </w:rPr>
    </w:lvl>
    <w:lvl w:ilvl="3" w:tplc="071E53B4" w:tentative="1">
      <w:start w:val="1"/>
      <w:numFmt w:val="bullet"/>
      <w:lvlText w:val="n"/>
      <w:lvlJc w:val="left"/>
      <w:pPr>
        <w:tabs>
          <w:tab w:val="num" w:pos="2610"/>
        </w:tabs>
        <w:ind w:left="2610" w:hanging="360"/>
      </w:pPr>
      <w:rPr>
        <w:rFonts w:ascii="Monotype Sorts" w:hAnsi="Monotype Sorts" w:hint="default"/>
      </w:rPr>
    </w:lvl>
    <w:lvl w:ilvl="4" w:tplc="79AAFA1E" w:tentative="1">
      <w:start w:val="1"/>
      <w:numFmt w:val="bullet"/>
      <w:lvlText w:val="n"/>
      <w:lvlJc w:val="left"/>
      <w:pPr>
        <w:tabs>
          <w:tab w:val="num" w:pos="3330"/>
        </w:tabs>
        <w:ind w:left="3330" w:hanging="360"/>
      </w:pPr>
      <w:rPr>
        <w:rFonts w:ascii="Monotype Sorts" w:hAnsi="Monotype Sorts" w:hint="default"/>
      </w:rPr>
    </w:lvl>
    <w:lvl w:ilvl="5" w:tplc="DE5E80FA" w:tentative="1">
      <w:start w:val="1"/>
      <w:numFmt w:val="bullet"/>
      <w:lvlText w:val="n"/>
      <w:lvlJc w:val="left"/>
      <w:pPr>
        <w:tabs>
          <w:tab w:val="num" w:pos="4050"/>
        </w:tabs>
        <w:ind w:left="4050" w:hanging="360"/>
      </w:pPr>
      <w:rPr>
        <w:rFonts w:ascii="Monotype Sorts" w:hAnsi="Monotype Sorts" w:hint="default"/>
      </w:rPr>
    </w:lvl>
    <w:lvl w:ilvl="6" w:tplc="8AA0A286" w:tentative="1">
      <w:start w:val="1"/>
      <w:numFmt w:val="bullet"/>
      <w:lvlText w:val="n"/>
      <w:lvlJc w:val="left"/>
      <w:pPr>
        <w:tabs>
          <w:tab w:val="num" w:pos="4770"/>
        </w:tabs>
        <w:ind w:left="4770" w:hanging="360"/>
      </w:pPr>
      <w:rPr>
        <w:rFonts w:ascii="Monotype Sorts" w:hAnsi="Monotype Sorts" w:hint="default"/>
      </w:rPr>
    </w:lvl>
    <w:lvl w:ilvl="7" w:tplc="9572C68A" w:tentative="1">
      <w:start w:val="1"/>
      <w:numFmt w:val="bullet"/>
      <w:lvlText w:val="n"/>
      <w:lvlJc w:val="left"/>
      <w:pPr>
        <w:tabs>
          <w:tab w:val="num" w:pos="5490"/>
        </w:tabs>
        <w:ind w:left="5490" w:hanging="360"/>
      </w:pPr>
      <w:rPr>
        <w:rFonts w:ascii="Monotype Sorts" w:hAnsi="Monotype Sorts" w:hint="default"/>
      </w:rPr>
    </w:lvl>
    <w:lvl w:ilvl="8" w:tplc="1FA8E780" w:tentative="1">
      <w:start w:val="1"/>
      <w:numFmt w:val="bullet"/>
      <w:lvlText w:val="n"/>
      <w:lvlJc w:val="left"/>
      <w:pPr>
        <w:tabs>
          <w:tab w:val="num" w:pos="6210"/>
        </w:tabs>
        <w:ind w:left="6210" w:hanging="360"/>
      </w:pPr>
      <w:rPr>
        <w:rFonts w:ascii="Monotype Sorts" w:hAnsi="Monotype Sorts" w:hint="default"/>
      </w:rPr>
    </w:lvl>
  </w:abstractNum>
  <w:abstractNum w:abstractNumId="1" w15:restartNumberingAfterBreak="0">
    <w:nsid w:val="098E2E57"/>
    <w:multiLevelType w:val="hybridMultilevel"/>
    <w:tmpl w:val="DDD488A8"/>
    <w:lvl w:ilvl="0" w:tplc="4D3412F6">
      <w:numFmt w:val="bullet"/>
      <w:lvlText w:val=""/>
      <w:lvlJc w:val="left"/>
      <w:pPr>
        <w:ind w:left="540" w:hanging="360"/>
      </w:pPr>
      <w:rPr>
        <w:rFonts w:ascii="Symbol" w:eastAsia="Symbol" w:hAnsi="Symbol" w:cs="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0B2"/>
    <w:multiLevelType w:val="hybridMultilevel"/>
    <w:tmpl w:val="FA68E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66CBD"/>
    <w:multiLevelType w:val="hybridMultilevel"/>
    <w:tmpl w:val="B2B2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F051A"/>
    <w:multiLevelType w:val="hybridMultilevel"/>
    <w:tmpl w:val="AABC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25A7C"/>
    <w:multiLevelType w:val="hybridMultilevel"/>
    <w:tmpl w:val="04F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33A0D"/>
    <w:multiLevelType w:val="hybridMultilevel"/>
    <w:tmpl w:val="897E518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0875AF7"/>
    <w:multiLevelType w:val="hybridMultilevel"/>
    <w:tmpl w:val="2254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03A21"/>
    <w:multiLevelType w:val="hybridMultilevel"/>
    <w:tmpl w:val="9766C7C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76119A3"/>
    <w:multiLevelType w:val="hybridMultilevel"/>
    <w:tmpl w:val="788E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611F4"/>
    <w:multiLevelType w:val="hybridMultilevel"/>
    <w:tmpl w:val="06D42EF2"/>
    <w:lvl w:ilvl="0" w:tplc="4D3412F6">
      <w:numFmt w:val="bullet"/>
      <w:lvlText w:val=""/>
      <w:lvlJc w:val="left"/>
      <w:pPr>
        <w:ind w:left="720" w:hanging="360"/>
      </w:pPr>
      <w:rPr>
        <w:rFonts w:ascii="Symbol" w:eastAsia="Symbol" w:hAnsi="Symbol" w:cs="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D490F"/>
    <w:multiLevelType w:val="hybridMultilevel"/>
    <w:tmpl w:val="2D48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2B331A"/>
    <w:multiLevelType w:val="hybridMultilevel"/>
    <w:tmpl w:val="37785CC6"/>
    <w:lvl w:ilvl="0" w:tplc="9CA02E48">
      <w:start w:val="1"/>
      <w:numFmt w:val="bullet"/>
      <w:lvlText w:val="n"/>
      <w:lvlJc w:val="left"/>
      <w:pPr>
        <w:tabs>
          <w:tab w:val="num" w:pos="720"/>
        </w:tabs>
        <w:ind w:left="720" w:hanging="360"/>
      </w:pPr>
      <w:rPr>
        <w:rFonts w:ascii="Monotype Sorts" w:hAnsi="Monotype Sorts" w:hint="default"/>
      </w:rPr>
    </w:lvl>
    <w:lvl w:ilvl="1" w:tplc="F9B08EC4" w:tentative="1">
      <w:start w:val="1"/>
      <w:numFmt w:val="bullet"/>
      <w:lvlText w:val="n"/>
      <w:lvlJc w:val="left"/>
      <w:pPr>
        <w:tabs>
          <w:tab w:val="num" w:pos="1440"/>
        </w:tabs>
        <w:ind w:left="1440" w:hanging="360"/>
      </w:pPr>
      <w:rPr>
        <w:rFonts w:ascii="Monotype Sorts" w:hAnsi="Monotype Sorts" w:hint="default"/>
      </w:rPr>
    </w:lvl>
    <w:lvl w:ilvl="2" w:tplc="74DE0E16" w:tentative="1">
      <w:start w:val="1"/>
      <w:numFmt w:val="bullet"/>
      <w:lvlText w:val="n"/>
      <w:lvlJc w:val="left"/>
      <w:pPr>
        <w:tabs>
          <w:tab w:val="num" w:pos="2160"/>
        </w:tabs>
        <w:ind w:left="2160" w:hanging="360"/>
      </w:pPr>
      <w:rPr>
        <w:rFonts w:ascii="Monotype Sorts" w:hAnsi="Monotype Sorts" w:hint="default"/>
      </w:rPr>
    </w:lvl>
    <w:lvl w:ilvl="3" w:tplc="A28E9860" w:tentative="1">
      <w:start w:val="1"/>
      <w:numFmt w:val="bullet"/>
      <w:lvlText w:val="n"/>
      <w:lvlJc w:val="left"/>
      <w:pPr>
        <w:tabs>
          <w:tab w:val="num" w:pos="2880"/>
        </w:tabs>
        <w:ind w:left="2880" w:hanging="360"/>
      </w:pPr>
      <w:rPr>
        <w:rFonts w:ascii="Monotype Sorts" w:hAnsi="Monotype Sorts" w:hint="default"/>
      </w:rPr>
    </w:lvl>
    <w:lvl w:ilvl="4" w:tplc="0E589828" w:tentative="1">
      <w:start w:val="1"/>
      <w:numFmt w:val="bullet"/>
      <w:lvlText w:val="n"/>
      <w:lvlJc w:val="left"/>
      <w:pPr>
        <w:tabs>
          <w:tab w:val="num" w:pos="3600"/>
        </w:tabs>
        <w:ind w:left="3600" w:hanging="360"/>
      </w:pPr>
      <w:rPr>
        <w:rFonts w:ascii="Monotype Sorts" w:hAnsi="Monotype Sorts" w:hint="default"/>
      </w:rPr>
    </w:lvl>
    <w:lvl w:ilvl="5" w:tplc="A9106E40" w:tentative="1">
      <w:start w:val="1"/>
      <w:numFmt w:val="bullet"/>
      <w:lvlText w:val="n"/>
      <w:lvlJc w:val="left"/>
      <w:pPr>
        <w:tabs>
          <w:tab w:val="num" w:pos="4320"/>
        </w:tabs>
        <w:ind w:left="4320" w:hanging="360"/>
      </w:pPr>
      <w:rPr>
        <w:rFonts w:ascii="Monotype Sorts" w:hAnsi="Monotype Sorts" w:hint="default"/>
      </w:rPr>
    </w:lvl>
    <w:lvl w:ilvl="6" w:tplc="02FCED54" w:tentative="1">
      <w:start w:val="1"/>
      <w:numFmt w:val="bullet"/>
      <w:lvlText w:val="n"/>
      <w:lvlJc w:val="left"/>
      <w:pPr>
        <w:tabs>
          <w:tab w:val="num" w:pos="5040"/>
        </w:tabs>
        <w:ind w:left="5040" w:hanging="360"/>
      </w:pPr>
      <w:rPr>
        <w:rFonts w:ascii="Monotype Sorts" w:hAnsi="Monotype Sorts" w:hint="default"/>
      </w:rPr>
    </w:lvl>
    <w:lvl w:ilvl="7" w:tplc="38BCD4D6" w:tentative="1">
      <w:start w:val="1"/>
      <w:numFmt w:val="bullet"/>
      <w:lvlText w:val="n"/>
      <w:lvlJc w:val="left"/>
      <w:pPr>
        <w:tabs>
          <w:tab w:val="num" w:pos="5760"/>
        </w:tabs>
        <w:ind w:left="5760" w:hanging="360"/>
      </w:pPr>
      <w:rPr>
        <w:rFonts w:ascii="Monotype Sorts" w:hAnsi="Monotype Sorts" w:hint="default"/>
      </w:rPr>
    </w:lvl>
    <w:lvl w:ilvl="8" w:tplc="949E1752" w:tentative="1">
      <w:start w:val="1"/>
      <w:numFmt w:val="bullet"/>
      <w:lvlText w:val="n"/>
      <w:lvlJc w:val="left"/>
      <w:pPr>
        <w:tabs>
          <w:tab w:val="num" w:pos="6480"/>
        </w:tabs>
        <w:ind w:left="6480" w:hanging="360"/>
      </w:pPr>
      <w:rPr>
        <w:rFonts w:ascii="Monotype Sorts" w:hAnsi="Monotype Sorts" w:hint="default"/>
      </w:rPr>
    </w:lvl>
  </w:abstractNum>
  <w:abstractNum w:abstractNumId="13" w15:restartNumberingAfterBreak="0">
    <w:nsid w:val="586F5684"/>
    <w:multiLevelType w:val="hybridMultilevel"/>
    <w:tmpl w:val="8B26BD12"/>
    <w:lvl w:ilvl="0" w:tplc="089A704C">
      <w:numFmt w:val="bullet"/>
      <w:lvlText w:val=""/>
      <w:lvlJc w:val="left"/>
      <w:pPr>
        <w:ind w:left="810" w:hanging="360"/>
      </w:pPr>
      <w:rPr>
        <w:rFonts w:ascii="Symbol" w:eastAsia="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8FD2A99"/>
    <w:multiLevelType w:val="hybridMultilevel"/>
    <w:tmpl w:val="0FE8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F42CF"/>
    <w:multiLevelType w:val="hybridMultilevel"/>
    <w:tmpl w:val="73D6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66CB5"/>
    <w:multiLevelType w:val="hybridMultilevel"/>
    <w:tmpl w:val="5504F9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35201DD"/>
    <w:multiLevelType w:val="hybridMultilevel"/>
    <w:tmpl w:val="7B54C3AC"/>
    <w:lvl w:ilvl="0" w:tplc="4D3412F6">
      <w:numFmt w:val="bullet"/>
      <w:lvlText w:val=""/>
      <w:lvlJc w:val="left"/>
      <w:pPr>
        <w:ind w:left="540" w:hanging="360"/>
      </w:pPr>
      <w:rPr>
        <w:rFonts w:ascii="Symbol" w:eastAsia="Symbol" w:hAnsi="Symbol" w:cs="Symbol"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6B206BD5"/>
    <w:multiLevelType w:val="hybridMultilevel"/>
    <w:tmpl w:val="1E2E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B1AEB"/>
    <w:multiLevelType w:val="hybridMultilevel"/>
    <w:tmpl w:val="C176436A"/>
    <w:lvl w:ilvl="0" w:tplc="04090001">
      <w:start w:val="1"/>
      <w:numFmt w:val="bullet"/>
      <w:lvlText w:val=""/>
      <w:lvlJc w:val="left"/>
      <w:pPr>
        <w:tabs>
          <w:tab w:val="num" w:pos="450"/>
        </w:tabs>
        <w:ind w:left="450" w:hanging="360"/>
      </w:pPr>
      <w:rPr>
        <w:rFonts w:ascii="Symbol" w:hAnsi="Symbol" w:hint="default"/>
      </w:rPr>
    </w:lvl>
    <w:lvl w:ilvl="1" w:tplc="77A8F0E0" w:tentative="1">
      <w:start w:val="1"/>
      <w:numFmt w:val="bullet"/>
      <w:lvlText w:val="n"/>
      <w:lvlJc w:val="left"/>
      <w:pPr>
        <w:tabs>
          <w:tab w:val="num" w:pos="1170"/>
        </w:tabs>
        <w:ind w:left="1170" w:hanging="360"/>
      </w:pPr>
      <w:rPr>
        <w:rFonts w:ascii="Monotype Sorts" w:hAnsi="Monotype Sorts" w:hint="default"/>
      </w:rPr>
    </w:lvl>
    <w:lvl w:ilvl="2" w:tplc="624ED262" w:tentative="1">
      <w:start w:val="1"/>
      <w:numFmt w:val="bullet"/>
      <w:lvlText w:val="n"/>
      <w:lvlJc w:val="left"/>
      <w:pPr>
        <w:tabs>
          <w:tab w:val="num" w:pos="1890"/>
        </w:tabs>
        <w:ind w:left="1890" w:hanging="360"/>
      </w:pPr>
      <w:rPr>
        <w:rFonts w:ascii="Monotype Sorts" w:hAnsi="Monotype Sorts" w:hint="default"/>
      </w:rPr>
    </w:lvl>
    <w:lvl w:ilvl="3" w:tplc="A384AB66" w:tentative="1">
      <w:start w:val="1"/>
      <w:numFmt w:val="bullet"/>
      <w:lvlText w:val="n"/>
      <w:lvlJc w:val="left"/>
      <w:pPr>
        <w:tabs>
          <w:tab w:val="num" w:pos="2610"/>
        </w:tabs>
        <w:ind w:left="2610" w:hanging="360"/>
      </w:pPr>
      <w:rPr>
        <w:rFonts w:ascii="Monotype Sorts" w:hAnsi="Monotype Sorts" w:hint="default"/>
      </w:rPr>
    </w:lvl>
    <w:lvl w:ilvl="4" w:tplc="E4D07A6C" w:tentative="1">
      <w:start w:val="1"/>
      <w:numFmt w:val="bullet"/>
      <w:lvlText w:val="n"/>
      <w:lvlJc w:val="left"/>
      <w:pPr>
        <w:tabs>
          <w:tab w:val="num" w:pos="3330"/>
        </w:tabs>
        <w:ind w:left="3330" w:hanging="360"/>
      </w:pPr>
      <w:rPr>
        <w:rFonts w:ascii="Monotype Sorts" w:hAnsi="Monotype Sorts" w:hint="default"/>
      </w:rPr>
    </w:lvl>
    <w:lvl w:ilvl="5" w:tplc="0714DA06" w:tentative="1">
      <w:start w:val="1"/>
      <w:numFmt w:val="bullet"/>
      <w:lvlText w:val="n"/>
      <w:lvlJc w:val="left"/>
      <w:pPr>
        <w:tabs>
          <w:tab w:val="num" w:pos="4050"/>
        </w:tabs>
        <w:ind w:left="4050" w:hanging="360"/>
      </w:pPr>
      <w:rPr>
        <w:rFonts w:ascii="Monotype Sorts" w:hAnsi="Monotype Sorts" w:hint="default"/>
      </w:rPr>
    </w:lvl>
    <w:lvl w:ilvl="6" w:tplc="B21EC484" w:tentative="1">
      <w:start w:val="1"/>
      <w:numFmt w:val="bullet"/>
      <w:lvlText w:val="n"/>
      <w:lvlJc w:val="left"/>
      <w:pPr>
        <w:tabs>
          <w:tab w:val="num" w:pos="4770"/>
        </w:tabs>
        <w:ind w:left="4770" w:hanging="360"/>
      </w:pPr>
      <w:rPr>
        <w:rFonts w:ascii="Monotype Sorts" w:hAnsi="Monotype Sorts" w:hint="default"/>
      </w:rPr>
    </w:lvl>
    <w:lvl w:ilvl="7" w:tplc="8550C9B8" w:tentative="1">
      <w:start w:val="1"/>
      <w:numFmt w:val="bullet"/>
      <w:lvlText w:val="n"/>
      <w:lvlJc w:val="left"/>
      <w:pPr>
        <w:tabs>
          <w:tab w:val="num" w:pos="5490"/>
        </w:tabs>
        <w:ind w:left="5490" w:hanging="360"/>
      </w:pPr>
      <w:rPr>
        <w:rFonts w:ascii="Monotype Sorts" w:hAnsi="Monotype Sorts" w:hint="default"/>
      </w:rPr>
    </w:lvl>
    <w:lvl w:ilvl="8" w:tplc="40545998" w:tentative="1">
      <w:start w:val="1"/>
      <w:numFmt w:val="bullet"/>
      <w:lvlText w:val="n"/>
      <w:lvlJc w:val="left"/>
      <w:pPr>
        <w:tabs>
          <w:tab w:val="num" w:pos="6210"/>
        </w:tabs>
        <w:ind w:left="6210" w:hanging="360"/>
      </w:pPr>
      <w:rPr>
        <w:rFonts w:ascii="Monotype Sorts" w:hAnsi="Monotype Sorts" w:hint="default"/>
      </w:rPr>
    </w:lvl>
  </w:abstractNum>
  <w:abstractNum w:abstractNumId="20" w15:restartNumberingAfterBreak="0">
    <w:nsid w:val="6EC36ECF"/>
    <w:multiLevelType w:val="hybridMultilevel"/>
    <w:tmpl w:val="30B890D4"/>
    <w:lvl w:ilvl="0" w:tplc="4D3412F6">
      <w:numFmt w:val="bullet"/>
      <w:lvlText w:val=""/>
      <w:lvlJc w:val="left"/>
      <w:pPr>
        <w:ind w:left="720" w:hanging="360"/>
      </w:pPr>
      <w:rPr>
        <w:rFonts w:ascii="Symbol" w:eastAsia="Symbol" w:hAnsi="Symbol" w:cs="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564C3"/>
    <w:multiLevelType w:val="hybridMultilevel"/>
    <w:tmpl w:val="C218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E71DB"/>
    <w:multiLevelType w:val="hybridMultilevel"/>
    <w:tmpl w:val="7066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5"/>
  </w:num>
  <w:num w:numId="4">
    <w:abstractNumId w:val="16"/>
  </w:num>
  <w:num w:numId="5">
    <w:abstractNumId w:val="6"/>
  </w:num>
  <w:num w:numId="6">
    <w:abstractNumId w:val="9"/>
  </w:num>
  <w:num w:numId="7">
    <w:abstractNumId w:val="18"/>
  </w:num>
  <w:num w:numId="8">
    <w:abstractNumId w:val="2"/>
  </w:num>
  <w:num w:numId="9">
    <w:abstractNumId w:val="11"/>
  </w:num>
  <w:num w:numId="10">
    <w:abstractNumId w:val="14"/>
  </w:num>
  <w:num w:numId="11">
    <w:abstractNumId w:val="19"/>
  </w:num>
  <w:num w:numId="12">
    <w:abstractNumId w:val="12"/>
  </w:num>
  <w:num w:numId="13">
    <w:abstractNumId w:val="0"/>
  </w:num>
  <w:num w:numId="14">
    <w:abstractNumId w:val="20"/>
  </w:num>
  <w:num w:numId="15">
    <w:abstractNumId w:val="21"/>
  </w:num>
  <w:num w:numId="16">
    <w:abstractNumId w:val="13"/>
  </w:num>
  <w:num w:numId="17">
    <w:abstractNumId w:val="3"/>
  </w:num>
  <w:num w:numId="18">
    <w:abstractNumId w:val="17"/>
  </w:num>
  <w:num w:numId="19">
    <w:abstractNumId w:val="1"/>
  </w:num>
  <w:num w:numId="20">
    <w:abstractNumId w:val="10"/>
  </w:num>
  <w:num w:numId="21">
    <w:abstractNumId w:val="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66"/>
    <w:rsid w:val="000023A9"/>
    <w:rsid w:val="00004D85"/>
    <w:rsid w:val="0000606D"/>
    <w:rsid w:val="0001163F"/>
    <w:rsid w:val="00015706"/>
    <w:rsid w:val="00025E82"/>
    <w:rsid w:val="000263FC"/>
    <w:rsid w:val="00030103"/>
    <w:rsid w:val="00036355"/>
    <w:rsid w:val="00040CE7"/>
    <w:rsid w:val="000420CB"/>
    <w:rsid w:val="000437A2"/>
    <w:rsid w:val="000541CC"/>
    <w:rsid w:val="000555C9"/>
    <w:rsid w:val="000568F7"/>
    <w:rsid w:val="00066247"/>
    <w:rsid w:val="00082FBE"/>
    <w:rsid w:val="00094259"/>
    <w:rsid w:val="000962DE"/>
    <w:rsid w:val="000974F6"/>
    <w:rsid w:val="00097E8E"/>
    <w:rsid w:val="000A1DBE"/>
    <w:rsid w:val="000A31AB"/>
    <w:rsid w:val="000A5092"/>
    <w:rsid w:val="000A5547"/>
    <w:rsid w:val="000B21A3"/>
    <w:rsid w:val="000B3C33"/>
    <w:rsid w:val="000C7048"/>
    <w:rsid w:val="000D6C9F"/>
    <w:rsid w:val="000E46C9"/>
    <w:rsid w:val="000E4A57"/>
    <w:rsid w:val="000F41DF"/>
    <w:rsid w:val="000F4883"/>
    <w:rsid w:val="000F59DD"/>
    <w:rsid w:val="00100E10"/>
    <w:rsid w:val="001018D3"/>
    <w:rsid w:val="001024C7"/>
    <w:rsid w:val="001033F8"/>
    <w:rsid w:val="00107191"/>
    <w:rsid w:val="00107AD6"/>
    <w:rsid w:val="00112F09"/>
    <w:rsid w:val="00115339"/>
    <w:rsid w:val="00121F23"/>
    <w:rsid w:val="00123FD1"/>
    <w:rsid w:val="00126884"/>
    <w:rsid w:val="001278CB"/>
    <w:rsid w:val="001364E0"/>
    <w:rsid w:val="00137ADE"/>
    <w:rsid w:val="001432FC"/>
    <w:rsid w:val="001470BF"/>
    <w:rsid w:val="001470CB"/>
    <w:rsid w:val="00171AF7"/>
    <w:rsid w:val="00180919"/>
    <w:rsid w:val="00190309"/>
    <w:rsid w:val="001A68E2"/>
    <w:rsid w:val="001B053C"/>
    <w:rsid w:val="001C25AC"/>
    <w:rsid w:val="001C5328"/>
    <w:rsid w:val="001D3B5D"/>
    <w:rsid w:val="001D528A"/>
    <w:rsid w:val="001F15C5"/>
    <w:rsid w:val="001F61EF"/>
    <w:rsid w:val="00203C9B"/>
    <w:rsid w:val="0020588B"/>
    <w:rsid w:val="002102AA"/>
    <w:rsid w:val="002108EB"/>
    <w:rsid w:val="00214BFC"/>
    <w:rsid w:val="00217DA0"/>
    <w:rsid w:val="00217E92"/>
    <w:rsid w:val="002328C5"/>
    <w:rsid w:val="00235FEA"/>
    <w:rsid w:val="00236C07"/>
    <w:rsid w:val="002437A3"/>
    <w:rsid w:val="00247DC8"/>
    <w:rsid w:val="002503BE"/>
    <w:rsid w:val="0025111E"/>
    <w:rsid w:val="00262916"/>
    <w:rsid w:val="00263A25"/>
    <w:rsid w:val="0026757B"/>
    <w:rsid w:val="00276629"/>
    <w:rsid w:val="00284143"/>
    <w:rsid w:val="0028460D"/>
    <w:rsid w:val="00290040"/>
    <w:rsid w:val="002A0878"/>
    <w:rsid w:val="002A42C6"/>
    <w:rsid w:val="002A6ED3"/>
    <w:rsid w:val="002A6F92"/>
    <w:rsid w:val="002A708E"/>
    <w:rsid w:val="002B0C0F"/>
    <w:rsid w:val="002B186A"/>
    <w:rsid w:val="002B2E28"/>
    <w:rsid w:val="002B6C73"/>
    <w:rsid w:val="002C09EC"/>
    <w:rsid w:val="002D180D"/>
    <w:rsid w:val="002D4052"/>
    <w:rsid w:val="002D706B"/>
    <w:rsid w:val="002F3749"/>
    <w:rsid w:val="002F402D"/>
    <w:rsid w:val="002F4E4C"/>
    <w:rsid w:val="00310AFF"/>
    <w:rsid w:val="0031460F"/>
    <w:rsid w:val="00323B02"/>
    <w:rsid w:val="0032715D"/>
    <w:rsid w:val="00327E56"/>
    <w:rsid w:val="0033102A"/>
    <w:rsid w:val="003320DD"/>
    <w:rsid w:val="00333180"/>
    <w:rsid w:val="00336045"/>
    <w:rsid w:val="00345CFD"/>
    <w:rsid w:val="00354099"/>
    <w:rsid w:val="0036012C"/>
    <w:rsid w:val="00366E67"/>
    <w:rsid w:val="00370A0C"/>
    <w:rsid w:val="003761B3"/>
    <w:rsid w:val="00390096"/>
    <w:rsid w:val="003935D9"/>
    <w:rsid w:val="00396CD0"/>
    <w:rsid w:val="003A7E50"/>
    <w:rsid w:val="003B0240"/>
    <w:rsid w:val="003B12C4"/>
    <w:rsid w:val="003B5A52"/>
    <w:rsid w:val="003C02F5"/>
    <w:rsid w:val="003C23A9"/>
    <w:rsid w:val="003C4EBC"/>
    <w:rsid w:val="003D0181"/>
    <w:rsid w:val="003D743A"/>
    <w:rsid w:val="003E0B2B"/>
    <w:rsid w:val="003E6266"/>
    <w:rsid w:val="003E7B3C"/>
    <w:rsid w:val="003E7D39"/>
    <w:rsid w:val="00411220"/>
    <w:rsid w:val="0041445F"/>
    <w:rsid w:val="00423739"/>
    <w:rsid w:val="004277A5"/>
    <w:rsid w:val="00433F10"/>
    <w:rsid w:val="0043457F"/>
    <w:rsid w:val="0043469A"/>
    <w:rsid w:val="00434926"/>
    <w:rsid w:val="00435F1A"/>
    <w:rsid w:val="00437BA4"/>
    <w:rsid w:val="00441DC2"/>
    <w:rsid w:val="0044371A"/>
    <w:rsid w:val="0044640A"/>
    <w:rsid w:val="00451144"/>
    <w:rsid w:val="00451C8A"/>
    <w:rsid w:val="00455270"/>
    <w:rsid w:val="00471190"/>
    <w:rsid w:val="00474163"/>
    <w:rsid w:val="00481C82"/>
    <w:rsid w:val="00482A0F"/>
    <w:rsid w:val="00484364"/>
    <w:rsid w:val="00484429"/>
    <w:rsid w:val="004872E8"/>
    <w:rsid w:val="00487980"/>
    <w:rsid w:val="00490FE5"/>
    <w:rsid w:val="004A197E"/>
    <w:rsid w:val="004A5F88"/>
    <w:rsid w:val="004B06BF"/>
    <w:rsid w:val="004B2060"/>
    <w:rsid w:val="004B2665"/>
    <w:rsid w:val="004B3A13"/>
    <w:rsid w:val="004B5071"/>
    <w:rsid w:val="004B7A4A"/>
    <w:rsid w:val="004C6ECE"/>
    <w:rsid w:val="004D2BE1"/>
    <w:rsid w:val="004D59D3"/>
    <w:rsid w:val="004E1A95"/>
    <w:rsid w:val="004E5E80"/>
    <w:rsid w:val="004F034C"/>
    <w:rsid w:val="004F0A4C"/>
    <w:rsid w:val="004F2B3B"/>
    <w:rsid w:val="004F392B"/>
    <w:rsid w:val="004F5B92"/>
    <w:rsid w:val="004F6DDE"/>
    <w:rsid w:val="0050387A"/>
    <w:rsid w:val="00511B0F"/>
    <w:rsid w:val="00517A45"/>
    <w:rsid w:val="00521A6B"/>
    <w:rsid w:val="0052651A"/>
    <w:rsid w:val="00527D88"/>
    <w:rsid w:val="00527F00"/>
    <w:rsid w:val="00530490"/>
    <w:rsid w:val="00531433"/>
    <w:rsid w:val="00531846"/>
    <w:rsid w:val="00532946"/>
    <w:rsid w:val="00534B09"/>
    <w:rsid w:val="005422D7"/>
    <w:rsid w:val="00551F7D"/>
    <w:rsid w:val="00556A9B"/>
    <w:rsid w:val="00560F7B"/>
    <w:rsid w:val="00562CBC"/>
    <w:rsid w:val="0056698A"/>
    <w:rsid w:val="00566C76"/>
    <w:rsid w:val="00576259"/>
    <w:rsid w:val="00577B54"/>
    <w:rsid w:val="00581411"/>
    <w:rsid w:val="005816A2"/>
    <w:rsid w:val="00595401"/>
    <w:rsid w:val="0059565B"/>
    <w:rsid w:val="005A41C1"/>
    <w:rsid w:val="005A445C"/>
    <w:rsid w:val="005B17E6"/>
    <w:rsid w:val="005B20AB"/>
    <w:rsid w:val="005C6352"/>
    <w:rsid w:val="005C6710"/>
    <w:rsid w:val="005D12D9"/>
    <w:rsid w:val="005D4F9E"/>
    <w:rsid w:val="005D5FCA"/>
    <w:rsid w:val="005D73EE"/>
    <w:rsid w:val="005E1B45"/>
    <w:rsid w:val="005F0600"/>
    <w:rsid w:val="005F0BEF"/>
    <w:rsid w:val="005F12CF"/>
    <w:rsid w:val="005F3A4A"/>
    <w:rsid w:val="00602D0D"/>
    <w:rsid w:val="00605CC6"/>
    <w:rsid w:val="00612A4C"/>
    <w:rsid w:val="00614051"/>
    <w:rsid w:val="00620B8F"/>
    <w:rsid w:val="006244A3"/>
    <w:rsid w:val="0062590B"/>
    <w:rsid w:val="00632D46"/>
    <w:rsid w:val="00637767"/>
    <w:rsid w:val="006443B6"/>
    <w:rsid w:val="00645368"/>
    <w:rsid w:val="00650753"/>
    <w:rsid w:val="0065105F"/>
    <w:rsid w:val="00652FBC"/>
    <w:rsid w:val="00653B20"/>
    <w:rsid w:val="00657899"/>
    <w:rsid w:val="00660E6E"/>
    <w:rsid w:val="006637F6"/>
    <w:rsid w:val="00664DE8"/>
    <w:rsid w:val="00665854"/>
    <w:rsid w:val="00671B31"/>
    <w:rsid w:val="00671EB9"/>
    <w:rsid w:val="00673705"/>
    <w:rsid w:val="00674204"/>
    <w:rsid w:val="00675E08"/>
    <w:rsid w:val="00680BC2"/>
    <w:rsid w:val="00683953"/>
    <w:rsid w:val="006853E8"/>
    <w:rsid w:val="006874F8"/>
    <w:rsid w:val="0069085B"/>
    <w:rsid w:val="00697873"/>
    <w:rsid w:val="006A7922"/>
    <w:rsid w:val="006B5BBD"/>
    <w:rsid w:val="006C228C"/>
    <w:rsid w:val="006C3D1F"/>
    <w:rsid w:val="006C5FC7"/>
    <w:rsid w:val="006C6511"/>
    <w:rsid w:val="006D15C2"/>
    <w:rsid w:val="006E23CA"/>
    <w:rsid w:val="006E2E75"/>
    <w:rsid w:val="006E6314"/>
    <w:rsid w:val="006F0523"/>
    <w:rsid w:val="006F3769"/>
    <w:rsid w:val="006F4A59"/>
    <w:rsid w:val="006F57B7"/>
    <w:rsid w:val="006F75B7"/>
    <w:rsid w:val="007058C6"/>
    <w:rsid w:val="00706E78"/>
    <w:rsid w:val="007079D0"/>
    <w:rsid w:val="007134D2"/>
    <w:rsid w:val="007261B4"/>
    <w:rsid w:val="00731BD8"/>
    <w:rsid w:val="00731EAA"/>
    <w:rsid w:val="00734AA5"/>
    <w:rsid w:val="00740D58"/>
    <w:rsid w:val="00741781"/>
    <w:rsid w:val="00745BE4"/>
    <w:rsid w:val="00746471"/>
    <w:rsid w:val="007552B1"/>
    <w:rsid w:val="00757172"/>
    <w:rsid w:val="00762235"/>
    <w:rsid w:val="00774F39"/>
    <w:rsid w:val="007822CA"/>
    <w:rsid w:val="00796231"/>
    <w:rsid w:val="007A775E"/>
    <w:rsid w:val="007A7D4A"/>
    <w:rsid w:val="007B03BE"/>
    <w:rsid w:val="007B26C7"/>
    <w:rsid w:val="007B29BB"/>
    <w:rsid w:val="007B31B1"/>
    <w:rsid w:val="007B4137"/>
    <w:rsid w:val="007B5142"/>
    <w:rsid w:val="007B7275"/>
    <w:rsid w:val="007E0C18"/>
    <w:rsid w:val="007E408D"/>
    <w:rsid w:val="007E5635"/>
    <w:rsid w:val="007E60EB"/>
    <w:rsid w:val="007F0F28"/>
    <w:rsid w:val="007F2599"/>
    <w:rsid w:val="007F53DF"/>
    <w:rsid w:val="0080091B"/>
    <w:rsid w:val="0080115B"/>
    <w:rsid w:val="0080276E"/>
    <w:rsid w:val="008036EE"/>
    <w:rsid w:val="0080550B"/>
    <w:rsid w:val="00812A67"/>
    <w:rsid w:val="00813A78"/>
    <w:rsid w:val="0082292E"/>
    <w:rsid w:val="008239CE"/>
    <w:rsid w:val="008339B6"/>
    <w:rsid w:val="008410F6"/>
    <w:rsid w:val="008509D9"/>
    <w:rsid w:val="008528B5"/>
    <w:rsid w:val="00860F8A"/>
    <w:rsid w:val="008624F2"/>
    <w:rsid w:val="008638E7"/>
    <w:rsid w:val="008825E3"/>
    <w:rsid w:val="00884830"/>
    <w:rsid w:val="0089276E"/>
    <w:rsid w:val="0089282D"/>
    <w:rsid w:val="00893228"/>
    <w:rsid w:val="00893A2C"/>
    <w:rsid w:val="00896D27"/>
    <w:rsid w:val="00897EF4"/>
    <w:rsid w:val="008A1F45"/>
    <w:rsid w:val="008B0E2B"/>
    <w:rsid w:val="008B3CA3"/>
    <w:rsid w:val="008B4B24"/>
    <w:rsid w:val="008B5261"/>
    <w:rsid w:val="008C02A0"/>
    <w:rsid w:val="008C04E0"/>
    <w:rsid w:val="008C0637"/>
    <w:rsid w:val="008C064A"/>
    <w:rsid w:val="008C160C"/>
    <w:rsid w:val="008C5043"/>
    <w:rsid w:val="008D0E64"/>
    <w:rsid w:val="008D1343"/>
    <w:rsid w:val="008D46AA"/>
    <w:rsid w:val="008D4AD1"/>
    <w:rsid w:val="008D63F8"/>
    <w:rsid w:val="008D6E72"/>
    <w:rsid w:val="008F187A"/>
    <w:rsid w:val="009042A1"/>
    <w:rsid w:val="00922839"/>
    <w:rsid w:val="009237A2"/>
    <w:rsid w:val="0092393A"/>
    <w:rsid w:val="009257A7"/>
    <w:rsid w:val="0093676F"/>
    <w:rsid w:val="00944F9C"/>
    <w:rsid w:val="009536A8"/>
    <w:rsid w:val="00953D77"/>
    <w:rsid w:val="00961A90"/>
    <w:rsid w:val="00962B7F"/>
    <w:rsid w:val="00963C13"/>
    <w:rsid w:val="009644C7"/>
    <w:rsid w:val="009646F4"/>
    <w:rsid w:val="009745F7"/>
    <w:rsid w:val="009750ED"/>
    <w:rsid w:val="009801B2"/>
    <w:rsid w:val="009819FF"/>
    <w:rsid w:val="00991EEE"/>
    <w:rsid w:val="00992705"/>
    <w:rsid w:val="009A1188"/>
    <w:rsid w:val="009A421B"/>
    <w:rsid w:val="009A5FFA"/>
    <w:rsid w:val="009C195A"/>
    <w:rsid w:val="009C4E8A"/>
    <w:rsid w:val="009C6FA7"/>
    <w:rsid w:val="009C7AB2"/>
    <w:rsid w:val="009D096B"/>
    <w:rsid w:val="009D55D0"/>
    <w:rsid w:val="009D5EB3"/>
    <w:rsid w:val="009E613E"/>
    <w:rsid w:val="009E6CEB"/>
    <w:rsid w:val="009E762D"/>
    <w:rsid w:val="009F367F"/>
    <w:rsid w:val="009F4521"/>
    <w:rsid w:val="009F63BC"/>
    <w:rsid w:val="009F66EE"/>
    <w:rsid w:val="00A03BB5"/>
    <w:rsid w:val="00A118B8"/>
    <w:rsid w:val="00A157ED"/>
    <w:rsid w:val="00A2346C"/>
    <w:rsid w:val="00A304E9"/>
    <w:rsid w:val="00A30B82"/>
    <w:rsid w:val="00A40B6D"/>
    <w:rsid w:val="00A426C4"/>
    <w:rsid w:val="00A446E7"/>
    <w:rsid w:val="00A44C8A"/>
    <w:rsid w:val="00A5025B"/>
    <w:rsid w:val="00A517AC"/>
    <w:rsid w:val="00A53979"/>
    <w:rsid w:val="00A55CFA"/>
    <w:rsid w:val="00A620CB"/>
    <w:rsid w:val="00A6295E"/>
    <w:rsid w:val="00A75B5D"/>
    <w:rsid w:val="00A763F5"/>
    <w:rsid w:val="00A867FC"/>
    <w:rsid w:val="00A90770"/>
    <w:rsid w:val="00A92C71"/>
    <w:rsid w:val="00AA6D91"/>
    <w:rsid w:val="00AB1004"/>
    <w:rsid w:val="00AB6B6B"/>
    <w:rsid w:val="00AB7949"/>
    <w:rsid w:val="00AD3E6A"/>
    <w:rsid w:val="00AF1EDF"/>
    <w:rsid w:val="00B033E9"/>
    <w:rsid w:val="00B03DEE"/>
    <w:rsid w:val="00B116CE"/>
    <w:rsid w:val="00B12DA3"/>
    <w:rsid w:val="00B16655"/>
    <w:rsid w:val="00B16FF2"/>
    <w:rsid w:val="00B22B27"/>
    <w:rsid w:val="00B2316E"/>
    <w:rsid w:val="00B34266"/>
    <w:rsid w:val="00B3754A"/>
    <w:rsid w:val="00B409DB"/>
    <w:rsid w:val="00B476A5"/>
    <w:rsid w:val="00B512EB"/>
    <w:rsid w:val="00B56457"/>
    <w:rsid w:val="00B60303"/>
    <w:rsid w:val="00B6496C"/>
    <w:rsid w:val="00B652B6"/>
    <w:rsid w:val="00B73FA8"/>
    <w:rsid w:val="00B7416F"/>
    <w:rsid w:val="00B762FB"/>
    <w:rsid w:val="00B8081C"/>
    <w:rsid w:val="00B86EC1"/>
    <w:rsid w:val="00B909E1"/>
    <w:rsid w:val="00B97850"/>
    <w:rsid w:val="00BA3A7A"/>
    <w:rsid w:val="00BB0D36"/>
    <w:rsid w:val="00BB751F"/>
    <w:rsid w:val="00BC6D69"/>
    <w:rsid w:val="00BE0690"/>
    <w:rsid w:val="00BE2CF7"/>
    <w:rsid w:val="00BE3EE6"/>
    <w:rsid w:val="00BF5A70"/>
    <w:rsid w:val="00BF5AA0"/>
    <w:rsid w:val="00C07806"/>
    <w:rsid w:val="00C10B00"/>
    <w:rsid w:val="00C11025"/>
    <w:rsid w:val="00C23142"/>
    <w:rsid w:val="00C2771F"/>
    <w:rsid w:val="00C32751"/>
    <w:rsid w:val="00C44495"/>
    <w:rsid w:val="00C4494A"/>
    <w:rsid w:val="00C44B97"/>
    <w:rsid w:val="00C52F5B"/>
    <w:rsid w:val="00C54586"/>
    <w:rsid w:val="00C5480B"/>
    <w:rsid w:val="00C6506A"/>
    <w:rsid w:val="00C6511C"/>
    <w:rsid w:val="00C74605"/>
    <w:rsid w:val="00C90A05"/>
    <w:rsid w:val="00C93001"/>
    <w:rsid w:val="00C947D9"/>
    <w:rsid w:val="00C978D9"/>
    <w:rsid w:val="00CA0782"/>
    <w:rsid w:val="00CA15B1"/>
    <w:rsid w:val="00CA3775"/>
    <w:rsid w:val="00CA6EA2"/>
    <w:rsid w:val="00CC153D"/>
    <w:rsid w:val="00CC7E03"/>
    <w:rsid w:val="00CF086E"/>
    <w:rsid w:val="00CF17F3"/>
    <w:rsid w:val="00CF28D2"/>
    <w:rsid w:val="00CF5DDF"/>
    <w:rsid w:val="00CF780A"/>
    <w:rsid w:val="00D11EFD"/>
    <w:rsid w:val="00D1273C"/>
    <w:rsid w:val="00D253E3"/>
    <w:rsid w:val="00D31B3B"/>
    <w:rsid w:val="00D33309"/>
    <w:rsid w:val="00D35B75"/>
    <w:rsid w:val="00D4101E"/>
    <w:rsid w:val="00D4270A"/>
    <w:rsid w:val="00D43105"/>
    <w:rsid w:val="00D500F1"/>
    <w:rsid w:val="00D55829"/>
    <w:rsid w:val="00D576C2"/>
    <w:rsid w:val="00D655DA"/>
    <w:rsid w:val="00D70853"/>
    <w:rsid w:val="00D721F9"/>
    <w:rsid w:val="00D72DD8"/>
    <w:rsid w:val="00D73AC0"/>
    <w:rsid w:val="00D76678"/>
    <w:rsid w:val="00D77142"/>
    <w:rsid w:val="00D77ACE"/>
    <w:rsid w:val="00D77D74"/>
    <w:rsid w:val="00D84BB8"/>
    <w:rsid w:val="00D86367"/>
    <w:rsid w:val="00D875C6"/>
    <w:rsid w:val="00D965CD"/>
    <w:rsid w:val="00DB0F2C"/>
    <w:rsid w:val="00DB2436"/>
    <w:rsid w:val="00DB3405"/>
    <w:rsid w:val="00DC0929"/>
    <w:rsid w:val="00DC16B9"/>
    <w:rsid w:val="00DC55F9"/>
    <w:rsid w:val="00DC671F"/>
    <w:rsid w:val="00DE1766"/>
    <w:rsid w:val="00DE2C2F"/>
    <w:rsid w:val="00DE6C6C"/>
    <w:rsid w:val="00DF0FB5"/>
    <w:rsid w:val="00DF46B1"/>
    <w:rsid w:val="00DF535C"/>
    <w:rsid w:val="00E00DA9"/>
    <w:rsid w:val="00E036D5"/>
    <w:rsid w:val="00E073D3"/>
    <w:rsid w:val="00E10ED1"/>
    <w:rsid w:val="00E20650"/>
    <w:rsid w:val="00E344C8"/>
    <w:rsid w:val="00E3546A"/>
    <w:rsid w:val="00E600DC"/>
    <w:rsid w:val="00E6019A"/>
    <w:rsid w:val="00E64DA1"/>
    <w:rsid w:val="00E80E50"/>
    <w:rsid w:val="00E81816"/>
    <w:rsid w:val="00E86D40"/>
    <w:rsid w:val="00E87643"/>
    <w:rsid w:val="00EA0316"/>
    <w:rsid w:val="00EA4C0E"/>
    <w:rsid w:val="00EB262D"/>
    <w:rsid w:val="00EB6ED0"/>
    <w:rsid w:val="00EC409C"/>
    <w:rsid w:val="00EC4E83"/>
    <w:rsid w:val="00ED4D7F"/>
    <w:rsid w:val="00ED696F"/>
    <w:rsid w:val="00EE27E6"/>
    <w:rsid w:val="00EE3AAE"/>
    <w:rsid w:val="00EE4D48"/>
    <w:rsid w:val="00EF092F"/>
    <w:rsid w:val="00EF219D"/>
    <w:rsid w:val="00F00705"/>
    <w:rsid w:val="00F030D5"/>
    <w:rsid w:val="00F21341"/>
    <w:rsid w:val="00F3526A"/>
    <w:rsid w:val="00F408B1"/>
    <w:rsid w:val="00F553D7"/>
    <w:rsid w:val="00F570BA"/>
    <w:rsid w:val="00F62338"/>
    <w:rsid w:val="00F642C5"/>
    <w:rsid w:val="00F66EC7"/>
    <w:rsid w:val="00F7570E"/>
    <w:rsid w:val="00F75FBF"/>
    <w:rsid w:val="00F81DB3"/>
    <w:rsid w:val="00F855AF"/>
    <w:rsid w:val="00FA0965"/>
    <w:rsid w:val="00FB0795"/>
    <w:rsid w:val="00FB3DBC"/>
    <w:rsid w:val="00FB7271"/>
    <w:rsid w:val="00FD02BB"/>
    <w:rsid w:val="00FD5210"/>
    <w:rsid w:val="00FE70B2"/>
    <w:rsid w:val="00FE74FE"/>
    <w:rsid w:val="00FF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CA4CD-D01B-4CF9-A489-C20C60F1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FE"/>
    <w:rPr>
      <w:rFonts w:ascii="Tahoma" w:hAnsi="Tahoma" w:cs="Tahoma"/>
      <w:sz w:val="16"/>
      <w:szCs w:val="16"/>
    </w:rPr>
  </w:style>
  <w:style w:type="paragraph" w:customStyle="1" w:styleId="Default">
    <w:name w:val="Default"/>
    <w:rsid w:val="009F4521"/>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ListParagraph">
    <w:name w:val="List Paragraph"/>
    <w:basedOn w:val="Normal"/>
    <w:uiPriority w:val="34"/>
    <w:qFormat/>
    <w:rsid w:val="006F4A59"/>
    <w:pPr>
      <w:ind w:left="720"/>
      <w:contextualSpacing/>
    </w:pPr>
  </w:style>
  <w:style w:type="table" w:styleId="TableGrid">
    <w:name w:val="Table Grid"/>
    <w:basedOn w:val="TableNormal"/>
    <w:uiPriority w:val="59"/>
    <w:rsid w:val="0033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56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68F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7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50"/>
  </w:style>
  <w:style w:type="paragraph" w:styleId="Footer">
    <w:name w:val="footer"/>
    <w:basedOn w:val="Normal"/>
    <w:link w:val="FooterChar"/>
    <w:uiPriority w:val="99"/>
    <w:unhideWhenUsed/>
    <w:rsid w:val="00B97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1392">
      <w:bodyDiv w:val="1"/>
      <w:marLeft w:val="0"/>
      <w:marRight w:val="0"/>
      <w:marTop w:val="0"/>
      <w:marBottom w:val="0"/>
      <w:divBdr>
        <w:top w:val="none" w:sz="0" w:space="0" w:color="auto"/>
        <w:left w:val="none" w:sz="0" w:space="0" w:color="auto"/>
        <w:bottom w:val="none" w:sz="0" w:space="0" w:color="auto"/>
        <w:right w:val="none" w:sz="0" w:space="0" w:color="auto"/>
      </w:divBdr>
      <w:divsChild>
        <w:div w:id="539168434">
          <w:marLeft w:val="605"/>
          <w:marRight w:val="0"/>
          <w:marTop w:val="432"/>
          <w:marBottom w:val="0"/>
          <w:divBdr>
            <w:top w:val="none" w:sz="0" w:space="0" w:color="auto"/>
            <w:left w:val="none" w:sz="0" w:space="0" w:color="auto"/>
            <w:bottom w:val="none" w:sz="0" w:space="0" w:color="auto"/>
            <w:right w:val="none" w:sz="0" w:space="0" w:color="auto"/>
          </w:divBdr>
        </w:div>
        <w:div w:id="2038503869">
          <w:marLeft w:val="605"/>
          <w:marRight w:val="0"/>
          <w:marTop w:val="432"/>
          <w:marBottom w:val="0"/>
          <w:divBdr>
            <w:top w:val="none" w:sz="0" w:space="0" w:color="auto"/>
            <w:left w:val="none" w:sz="0" w:space="0" w:color="auto"/>
            <w:bottom w:val="none" w:sz="0" w:space="0" w:color="auto"/>
            <w:right w:val="none" w:sz="0" w:space="0" w:color="auto"/>
          </w:divBdr>
        </w:div>
        <w:div w:id="56056729">
          <w:marLeft w:val="605"/>
          <w:marRight w:val="0"/>
          <w:marTop w:val="432"/>
          <w:marBottom w:val="0"/>
          <w:divBdr>
            <w:top w:val="none" w:sz="0" w:space="0" w:color="auto"/>
            <w:left w:val="none" w:sz="0" w:space="0" w:color="auto"/>
            <w:bottom w:val="none" w:sz="0" w:space="0" w:color="auto"/>
            <w:right w:val="none" w:sz="0" w:space="0" w:color="auto"/>
          </w:divBdr>
        </w:div>
      </w:divsChild>
    </w:div>
    <w:div w:id="738745611">
      <w:bodyDiv w:val="1"/>
      <w:marLeft w:val="0"/>
      <w:marRight w:val="0"/>
      <w:marTop w:val="0"/>
      <w:marBottom w:val="0"/>
      <w:divBdr>
        <w:top w:val="none" w:sz="0" w:space="0" w:color="auto"/>
        <w:left w:val="none" w:sz="0" w:space="0" w:color="auto"/>
        <w:bottom w:val="none" w:sz="0" w:space="0" w:color="auto"/>
        <w:right w:val="none" w:sz="0" w:space="0" w:color="auto"/>
      </w:divBdr>
    </w:div>
    <w:div w:id="998387390">
      <w:bodyDiv w:val="1"/>
      <w:marLeft w:val="0"/>
      <w:marRight w:val="0"/>
      <w:marTop w:val="0"/>
      <w:marBottom w:val="0"/>
      <w:divBdr>
        <w:top w:val="none" w:sz="0" w:space="0" w:color="auto"/>
        <w:left w:val="none" w:sz="0" w:space="0" w:color="auto"/>
        <w:bottom w:val="none" w:sz="0" w:space="0" w:color="auto"/>
        <w:right w:val="none" w:sz="0" w:space="0" w:color="auto"/>
      </w:divBdr>
    </w:div>
    <w:div w:id="1443497352">
      <w:bodyDiv w:val="1"/>
      <w:marLeft w:val="0"/>
      <w:marRight w:val="0"/>
      <w:marTop w:val="0"/>
      <w:marBottom w:val="0"/>
      <w:divBdr>
        <w:top w:val="none" w:sz="0" w:space="0" w:color="auto"/>
        <w:left w:val="none" w:sz="0" w:space="0" w:color="auto"/>
        <w:bottom w:val="none" w:sz="0" w:space="0" w:color="auto"/>
        <w:right w:val="none" w:sz="0" w:space="0" w:color="auto"/>
      </w:divBdr>
      <w:divsChild>
        <w:div w:id="877817744">
          <w:marLeft w:val="605"/>
          <w:marRight w:val="0"/>
          <w:marTop w:val="432"/>
          <w:marBottom w:val="0"/>
          <w:divBdr>
            <w:top w:val="none" w:sz="0" w:space="0" w:color="auto"/>
            <w:left w:val="none" w:sz="0" w:space="0" w:color="auto"/>
            <w:bottom w:val="none" w:sz="0" w:space="0" w:color="auto"/>
            <w:right w:val="none" w:sz="0" w:space="0" w:color="auto"/>
          </w:divBdr>
        </w:div>
        <w:div w:id="1728526852">
          <w:marLeft w:val="605"/>
          <w:marRight w:val="0"/>
          <w:marTop w:val="432"/>
          <w:marBottom w:val="0"/>
          <w:divBdr>
            <w:top w:val="none" w:sz="0" w:space="0" w:color="auto"/>
            <w:left w:val="none" w:sz="0" w:space="0" w:color="auto"/>
            <w:bottom w:val="none" w:sz="0" w:space="0" w:color="auto"/>
            <w:right w:val="none" w:sz="0" w:space="0" w:color="auto"/>
          </w:divBdr>
        </w:div>
      </w:divsChild>
    </w:div>
    <w:div w:id="1525940419">
      <w:bodyDiv w:val="1"/>
      <w:marLeft w:val="0"/>
      <w:marRight w:val="0"/>
      <w:marTop w:val="0"/>
      <w:marBottom w:val="0"/>
      <w:divBdr>
        <w:top w:val="none" w:sz="0" w:space="0" w:color="auto"/>
        <w:left w:val="none" w:sz="0" w:space="0" w:color="auto"/>
        <w:bottom w:val="none" w:sz="0" w:space="0" w:color="auto"/>
        <w:right w:val="none" w:sz="0" w:space="0" w:color="auto"/>
      </w:divBdr>
      <w:divsChild>
        <w:div w:id="1691878250">
          <w:marLeft w:val="605"/>
          <w:marRight w:val="0"/>
          <w:marTop w:val="432"/>
          <w:marBottom w:val="0"/>
          <w:divBdr>
            <w:top w:val="none" w:sz="0" w:space="0" w:color="auto"/>
            <w:left w:val="none" w:sz="0" w:space="0" w:color="auto"/>
            <w:bottom w:val="none" w:sz="0" w:space="0" w:color="auto"/>
            <w:right w:val="none" w:sz="0" w:space="0" w:color="auto"/>
          </w:divBdr>
        </w:div>
        <w:div w:id="1874072606">
          <w:marLeft w:val="605"/>
          <w:marRight w:val="0"/>
          <w:marTop w:val="43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D'Amore, Deanna</dc:creator>
  <cp:lastModifiedBy>Owner</cp:lastModifiedBy>
  <cp:revision>2</cp:revision>
  <cp:lastPrinted>2016-10-31T16:53:00Z</cp:lastPrinted>
  <dcterms:created xsi:type="dcterms:W3CDTF">2017-12-07T20:28:00Z</dcterms:created>
  <dcterms:modified xsi:type="dcterms:W3CDTF">2017-12-07T20:28:00Z</dcterms:modified>
</cp:coreProperties>
</file>